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0BCA9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759605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1E995E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67.080.10     </w:t>
            </w:r>
            <w:r>
              <w:rPr>
                <w:rFonts w:ascii="黑体" w:hAnsi="黑体" w:eastAsia="黑体"/>
                <w:sz w:val="21"/>
                <w:szCs w:val="21"/>
              </w:rPr>
              <w:fldChar w:fldCharType="end"/>
            </w:r>
            <w:bookmarkEnd w:id="0"/>
          </w:p>
        </w:tc>
      </w:tr>
      <w:tr w14:paraId="24FB3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435B3C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3D8D11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337BA7A">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CNCAIA</w:t>
                  </w:r>
                  <w:r>
                    <w:fldChar w:fldCharType="end"/>
                  </w:r>
                  <w:bookmarkEnd w:id="1"/>
                </w:p>
              </w:tc>
            </w:tr>
          </w:tbl>
          <w:p w14:paraId="39FD29C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31     </w:t>
            </w:r>
            <w:r>
              <w:rPr>
                <w:rFonts w:ascii="黑体" w:hAnsi="黑体" w:eastAsia="黑体"/>
                <w:sz w:val="21"/>
                <w:szCs w:val="21"/>
              </w:rPr>
              <w:fldChar w:fldCharType="end"/>
            </w:r>
            <w:bookmarkEnd w:id="2"/>
          </w:p>
        </w:tc>
      </w:tr>
    </w:tbl>
    <w:p w14:paraId="11F8935E">
      <w:pPr>
        <w:pStyle w:val="52"/>
        <w:framePr w:w="9639" w:h="624" w:hRule="exact" w:hSpace="181" w:vSpace="181"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中国苹果产业协会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3FB61D9">
      <w:pPr>
        <w:pStyle w:val="197"/>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CNCAIA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Pr>
          <w:rFonts w:hint="eastAsia"/>
        </w:rPr>
        <w:t>0011</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2026</w:t>
      </w:r>
      <w:r>
        <w:fldChar w:fldCharType="end"/>
      </w:r>
      <w:bookmarkEnd w:id="7"/>
    </w:p>
    <w:p w14:paraId="26C9175E">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9CD2BE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7441E23">
      <w:pPr>
        <w:pStyle w:val="52"/>
        <w:framePr w:w="9639" w:h="6976" w:hRule="exact" w:hSpace="0" w:vSpace="0" w:hAnchor="page" w:y="6408"/>
        <w:jc w:val="center"/>
        <w:rPr>
          <w:rFonts w:ascii="黑体" w:hAnsi="黑体" w:eastAsia="黑体"/>
          <w:b w:val="0"/>
          <w:bCs w:val="0"/>
          <w:w w:val="100"/>
        </w:rPr>
      </w:pPr>
    </w:p>
    <w:p w14:paraId="38907DB2">
      <w:pPr>
        <w:pStyle w:val="199"/>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威海金苹果质量等级</w:t>
      </w:r>
      <w:r>
        <w:rPr>
          <w:rFonts w:hint="eastAsia"/>
          <w:lang w:eastAsia="zh-CN"/>
        </w:rPr>
        <w:t>和</w:t>
      </w:r>
      <w:r>
        <w:rPr>
          <w:rFonts w:hint="eastAsia"/>
        </w:rPr>
        <w:t>规格</w:t>
      </w:r>
      <w:r>
        <w:fldChar w:fldCharType="end"/>
      </w:r>
      <w:bookmarkEnd w:id="9"/>
    </w:p>
    <w:p w14:paraId="14E033A3">
      <w:pPr>
        <w:framePr w:w="9639" w:h="6974" w:hRule="exact" w:wrap="around" w:vAnchor="page" w:hAnchor="page" w:x="1419" w:y="6408" w:anchorLock="1"/>
        <w:ind w:left="-1418"/>
      </w:pPr>
    </w:p>
    <w:p w14:paraId="0A562C60">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Grades and specifications of</w:t>
      </w:r>
      <w:r>
        <w:rPr>
          <w:rFonts w:eastAsia="黑体"/>
          <w:szCs w:val="28"/>
        </w:rPr>
        <w:t xml:space="preserve"> Harlikar Apple</w:t>
      </w:r>
      <w:r>
        <w:rPr>
          <w:rFonts w:eastAsia="黑体"/>
          <w:szCs w:val="28"/>
        </w:rPr>
        <w:fldChar w:fldCharType="end"/>
      </w:r>
      <w:bookmarkEnd w:id="10"/>
    </w:p>
    <w:p w14:paraId="71D264D7">
      <w:pPr>
        <w:framePr w:w="9639" w:h="6974" w:hRule="exact" w:wrap="around" w:vAnchor="page" w:hAnchor="page" w:x="1419" w:y="6408" w:anchorLock="1"/>
        <w:spacing w:line="760" w:lineRule="exact"/>
        <w:ind w:left="-1418"/>
      </w:pPr>
    </w:p>
    <w:p w14:paraId="734919A2">
      <w:pPr>
        <w:pStyle w:val="127"/>
        <w:framePr w:w="9639" w:h="6974" w:hRule="exact" w:wrap="around" w:vAnchor="page" w:hAnchor="page" w:x="1419" w:y="6408" w:anchorLock="1"/>
        <w:textAlignment w:val="bottom"/>
        <w:rPr>
          <w:rFonts w:eastAsia="黑体"/>
          <w:szCs w:val="28"/>
        </w:rPr>
      </w:pPr>
    </w:p>
    <w:p w14:paraId="0E3474AB">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0482CC3">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E176D8E">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2A0872B">
      <w:pPr>
        <w:pStyle w:val="195"/>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8D885AB">
      <w:pPr>
        <w:pStyle w:val="196"/>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E9F3BD8">
      <w:pPr>
        <w:pStyle w:val="153"/>
        <w:framePr w:h="584" w:hRule="exact" w:hSpace="181" w:vSpace="181"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中国苹果产业协会</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462B472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4EF8BBB">
      <w:pPr>
        <w:pStyle w:val="91"/>
        <w:spacing w:before="560" w:after="360"/>
      </w:pPr>
      <w:bookmarkStart w:id="21" w:name="BookMark2"/>
      <w:bookmarkStart w:id="49" w:name="_GoBack"/>
      <w:bookmarkEnd w:id="49"/>
      <w:r>
        <w:rPr>
          <w:rFonts w:hint="eastAsia"/>
          <w:spacing w:val="320"/>
        </w:rPr>
        <w:t>前</w:t>
      </w:r>
      <w:r>
        <w:rPr>
          <w:rFonts w:hint="eastAsia"/>
        </w:rPr>
        <w:t>言</w:t>
      </w:r>
    </w:p>
    <w:p w14:paraId="1A81CC1A">
      <w:pPr>
        <w:pStyle w:val="58"/>
        <w:spacing w:after="160" w:line="278" w:lineRule="auto"/>
        <w:ind w:firstLine="420"/>
      </w:pPr>
      <w:r>
        <w:rPr>
          <w:rFonts w:hint="eastAsia"/>
        </w:rPr>
        <w:t>本文件按照GB/T 1.1—2020《标准化工作导则  第1部分：标准化文件的结构和起草规则》的规定起草。</w:t>
      </w:r>
    </w:p>
    <w:p w14:paraId="66DC436C">
      <w:pPr>
        <w:pStyle w:val="58"/>
        <w:spacing w:after="160" w:line="278" w:lineRule="auto"/>
        <w:ind w:firstLine="420"/>
      </w:pPr>
      <w:r>
        <w:t>请注意本文件的某些内容可能涉及专利。本文件的发布机构不承担识别专利的责任。</w:t>
      </w:r>
    </w:p>
    <w:p w14:paraId="2FFF35C5">
      <w:pPr>
        <w:pStyle w:val="58"/>
        <w:spacing w:after="160" w:line="278" w:lineRule="auto"/>
        <w:ind w:firstLine="420"/>
      </w:pPr>
      <w:r>
        <w:rPr>
          <w:rFonts w:hint="eastAsia"/>
        </w:rPr>
        <w:t>本文件由</w:t>
      </w:r>
      <w:r>
        <w:t>全国农业技术推广服务中心</w:t>
      </w:r>
      <w:r>
        <w:rPr>
          <w:rFonts w:hint="eastAsia"/>
        </w:rPr>
        <w:t>提出。</w:t>
      </w:r>
    </w:p>
    <w:p w14:paraId="172AE5C0">
      <w:pPr>
        <w:pStyle w:val="58"/>
        <w:spacing w:after="160" w:line="278" w:lineRule="auto"/>
        <w:ind w:firstLine="420"/>
      </w:pPr>
      <w:r>
        <w:rPr>
          <w:rFonts w:hint="eastAsia"/>
        </w:rPr>
        <w:t>本文件由</w:t>
      </w:r>
      <w:r>
        <w:t>中国苹果产业协会</w:t>
      </w:r>
      <w:r>
        <w:rPr>
          <w:rFonts w:hint="eastAsia"/>
        </w:rPr>
        <w:t>归口。</w:t>
      </w:r>
    </w:p>
    <w:p w14:paraId="7EB83115">
      <w:pPr>
        <w:pStyle w:val="58"/>
        <w:spacing w:after="160" w:line="278" w:lineRule="auto"/>
        <w:ind w:firstLine="420"/>
        <w:rPr>
          <w:rFonts w:hint="eastAsia"/>
        </w:rPr>
      </w:pPr>
      <w:r>
        <w:rPr>
          <w:rFonts w:hint="eastAsia"/>
        </w:rPr>
        <w:t>本文件起草单位：</w:t>
      </w:r>
    </w:p>
    <w:p w14:paraId="7C849C46">
      <w:pPr>
        <w:pStyle w:val="58"/>
        <w:spacing w:after="160" w:line="278" w:lineRule="auto"/>
        <w:ind w:firstLine="420"/>
        <w:rPr>
          <w:rFonts w:hint="eastAsia"/>
        </w:rPr>
      </w:pPr>
      <w:r>
        <w:rPr>
          <w:rFonts w:hint="eastAsia"/>
        </w:rPr>
        <w:t>本文件主要起草人：</w:t>
      </w:r>
    </w:p>
    <w:p w14:paraId="5B871E13">
      <w:pPr>
        <w:pStyle w:val="58"/>
        <w:ind w:firstLine="420"/>
      </w:pPr>
    </w:p>
    <w:p w14:paraId="26777492">
      <w:pPr>
        <w:pStyle w:val="58"/>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29C129C3">
      <w:pPr>
        <w:spacing w:line="20" w:lineRule="exact"/>
        <w:jc w:val="center"/>
        <w:rPr>
          <w:rFonts w:ascii="黑体" w:hAnsi="黑体" w:eastAsia="黑体"/>
          <w:sz w:val="32"/>
          <w:szCs w:val="32"/>
        </w:rPr>
      </w:pPr>
      <w:bookmarkStart w:id="22" w:name="BookMark4"/>
    </w:p>
    <w:p w14:paraId="6426DB7F">
      <w:pPr>
        <w:spacing w:line="20" w:lineRule="exact"/>
        <w:jc w:val="center"/>
        <w:rPr>
          <w:rFonts w:ascii="黑体" w:hAnsi="黑体" w:eastAsia="黑体"/>
          <w:sz w:val="32"/>
          <w:szCs w:val="32"/>
        </w:rPr>
      </w:pPr>
    </w:p>
    <w:sdt>
      <w:sdtPr>
        <w:tag w:val="NEW_STAND_NAME"/>
        <w:id w:val="595910757"/>
        <w:lock w:val="sdtLocked"/>
        <w:placeholder>
          <w:docPart w:val="B03ED3F382A246A194765B635882F08A"/>
        </w:placeholder>
      </w:sdtPr>
      <w:sdtContent>
        <w:p w14:paraId="31EAFC5D">
          <w:pPr>
            <w:pStyle w:val="179"/>
            <w:bidi w:val="0"/>
            <w:spacing w:before="313" w:beforeLines="100" w:after="687" w:afterLines="220"/>
          </w:pPr>
          <w:bookmarkStart w:id="23" w:name="NEW_STAND_NAME"/>
          <w:r>
            <w:rPr>
              <w:rFonts w:hint="eastAsia"/>
              <w:lang w:eastAsia="zh-CN"/>
            </w:rPr>
            <w:t>威海金苹果质量等级和规格</w:t>
          </w:r>
        </w:p>
      </w:sdtContent>
    </w:sdt>
    <w:bookmarkEnd w:id="23"/>
    <w:p w14:paraId="31E7FE90">
      <w:pPr>
        <w:pStyle w:val="106"/>
        <w:spacing w:before="240" w:after="240" w:line="278" w:lineRule="auto"/>
      </w:pPr>
      <w:bookmarkStart w:id="24" w:name="_Toc26648465"/>
      <w:bookmarkStart w:id="25" w:name="_Toc24884211"/>
      <w:bookmarkStart w:id="26" w:name="_Toc17233333"/>
      <w:bookmarkStart w:id="27" w:name="_Toc97192964"/>
      <w:bookmarkStart w:id="28" w:name="_Toc26718930"/>
      <w:bookmarkStart w:id="29" w:name="_Toc26986771"/>
      <w:bookmarkStart w:id="30" w:name="_Toc24884218"/>
      <w:bookmarkStart w:id="31" w:name="_Toc17233325"/>
      <w:bookmarkStart w:id="32" w:name="_Toc26986530"/>
      <w:r>
        <w:rPr>
          <w:rFonts w:hint="eastAsia"/>
        </w:rPr>
        <w:t>范围</w:t>
      </w:r>
      <w:bookmarkEnd w:id="24"/>
      <w:bookmarkEnd w:id="25"/>
      <w:bookmarkEnd w:id="26"/>
      <w:bookmarkEnd w:id="27"/>
      <w:bookmarkEnd w:id="28"/>
      <w:bookmarkEnd w:id="29"/>
      <w:bookmarkEnd w:id="30"/>
      <w:bookmarkEnd w:id="31"/>
      <w:bookmarkEnd w:id="32"/>
    </w:p>
    <w:p w14:paraId="31BB7404">
      <w:pPr>
        <w:pStyle w:val="58"/>
        <w:spacing w:after="160" w:line="278" w:lineRule="auto"/>
        <w:ind w:firstLine="420"/>
      </w:pPr>
      <w:bookmarkStart w:id="33" w:name="_Toc17233326"/>
      <w:bookmarkStart w:id="34" w:name="_Toc24884219"/>
      <w:bookmarkStart w:id="35" w:name="_Toc24884212"/>
      <w:bookmarkStart w:id="36" w:name="_Toc17233334"/>
      <w:bookmarkStart w:id="37" w:name="_Toc26648466"/>
      <w:r>
        <w:rPr>
          <w:rFonts w:hint="eastAsia"/>
        </w:rPr>
        <w:t>本文件规定了威海金苹果的分级要求、规格、外观、检验规则和容许度。</w:t>
      </w:r>
    </w:p>
    <w:p w14:paraId="5D5B262F">
      <w:pPr>
        <w:pStyle w:val="58"/>
        <w:spacing w:after="160" w:line="278" w:lineRule="auto"/>
        <w:ind w:firstLine="420"/>
        <w:rPr>
          <w:rFonts w:hint="eastAsia" w:eastAsia="宋体"/>
          <w:lang w:eastAsia="zh-CN"/>
        </w:rPr>
      </w:pPr>
      <w:r>
        <w:rPr>
          <w:rFonts w:hint="eastAsia"/>
          <w:lang w:eastAsia="zh-CN"/>
        </w:rPr>
        <w:t>本文件适用于符合中国安全卫生要求的</w:t>
      </w:r>
      <w:r>
        <w:rPr>
          <w:rFonts w:hint="eastAsia"/>
        </w:rPr>
        <w:t>威海金苹果</w:t>
      </w:r>
      <w:r>
        <w:rPr>
          <w:rFonts w:hint="eastAsia"/>
          <w:lang w:eastAsia="zh-CN"/>
        </w:rPr>
        <w:t>。</w:t>
      </w:r>
    </w:p>
    <w:p w14:paraId="61787DA5">
      <w:pPr>
        <w:pStyle w:val="58"/>
        <w:spacing w:after="160" w:line="278" w:lineRule="auto"/>
        <w:ind w:firstLine="420"/>
      </w:pPr>
      <w:r>
        <w:rPr>
          <w:rFonts w:hint="eastAsia"/>
        </w:rPr>
        <w:t>本文件适用于威海金苹果的生产、收购和销售。</w:t>
      </w:r>
    </w:p>
    <w:p w14:paraId="2855B328">
      <w:pPr>
        <w:pStyle w:val="106"/>
        <w:spacing w:before="240" w:after="240" w:line="278" w:lineRule="auto"/>
      </w:pPr>
      <w:bookmarkStart w:id="38" w:name="_Toc26986772"/>
      <w:bookmarkStart w:id="39" w:name="_Toc26986531"/>
      <w:bookmarkStart w:id="40" w:name="_Toc97192965"/>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51E30D6A78646DA9217F2BAFCB4C69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0877F62">
          <w:pPr>
            <w:pStyle w:val="58"/>
            <w:spacing w:after="160" w:line="278"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3E8F087">
      <w:pPr>
        <w:pStyle w:val="58"/>
        <w:spacing w:after="160" w:line="278" w:lineRule="auto"/>
        <w:ind w:firstLine="420"/>
        <w:rPr>
          <w:rFonts w:hint="eastAsia"/>
        </w:rPr>
      </w:pPr>
      <w:r>
        <w:rPr>
          <w:rFonts w:hint="eastAsia"/>
        </w:rPr>
        <w:t>GB/T 10651 鲜苹果</w:t>
      </w:r>
    </w:p>
    <w:p w14:paraId="4E6F9AA8">
      <w:pPr>
        <w:pStyle w:val="58"/>
        <w:spacing w:after="160" w:line="278" w:lineRule="auto"/>
        <w:ind w:firstLine="420"/>
        <w:rPr>
          <w:rFonts w:hint="eastAsia"/>
        </w:rPr>
      </w:pPr>
      <w:r>
        <w:rPr>
          <w:rFonts w:hint="eastAsia"/>
        </w:rPr>
        <w:t>GB 12456 食品安全国家标准食品中总酸的测定</w:t>
      </w:r>
    </w:p>
    <w:p w14:paraId="2BE81085">
      <w:pPr>
        <w:pStyle w:val="58"/>
        <w:spacing w:after="160" w:line="278" w:lineRule="auto"/>
        <w:ind w:firstLine="420"/>
        <w:rPr>
          <w:rFonts w:hint="eastAsia"/>
        </w:rPr>
      </w:pPr>
      <w:r>
        <w:rPr>
          <w:rFonts w:hint="eastAsia"/>
        </w:rPr>
        <w:t>NY/T 2637 水果和蔬菜可溶性固形物含量的测定 折射仪法</w:t>
      </w:r>
    </w:p>
    <w:p w14:paraId="45DF499C">
      <w:pPr>
        <w:pStyle w:val="58"/>
        <w:spacing w:after="160" w:line="278" w:lineRule="auto"/>
        <w:ind w:firstLine="420"/>
        <w:rPr>
          <w:rFonts w:hint="eastAsia"/>
        </w:rPr>
      </w:pPr>
      <w:r>
        <w:rPr>
          <w:rFonts w:hint="eastAsia"/>
        </w:rPr>
        <w:t>GH/T 1471-2024</w:t>
      </w:r>
      <w:r>
        <w:rPr>
          <w:rFonts w:hint="eastAsia"/>
          <w:lang w:val="en-US" w:eastAsia="zh-CN"/>
        </w:rPr>
        <w:t xml:space="preserve"> </w:t>
      </w:r>
      <w:r>
        <w:rPr>
          <w:rFonts w:hint="eastAsia"/>
        </w:rPr>
        <w:t>果品风味品质评价方法</w:t>
      </w:r>
    </w:p>
    <w:p w14:paraId="3CD5102A">
      <w:pPr>
        <w:pStyle w:val="58"/>
        <w:spacing w:after="160" w:line="278" w:lineRule="auto"/>
        <w:ind w:firstLine="420"/>
        <w:rPr>
          <w:rFonts w:hint="eastAsia"/>
        </w:rPr>
      </w:pPr>
      <w:r>
        <w:rPr>
          <w:rFonts w:hint="eastAsia"/>
        </w:rPr>
        <w:t>GH/T 1408-2022</w:t>
      </w:r>
      <w:r>
        <w:rPr>
          <w:rFonts w:hint="eastAsia"/>
          <w:lang w:val="en-US" w:eastAsia="zh-CN"/>
        </w:rPr>
        <w:t xml:space="preserve"> </w:t>
      </w:r>
      <w:r>
        <w:rPr>
          <w:rFonts w:hint="eastAsia"/>
        </w:rPr>
        <w:t>鲜食苹果感官评价方法</w:t>
      </w:r>
    </w:p>
    <w:p w14:paraId="1CE0618D">
      <w:pPr>
        <w:pStyle w:val="58"/>
        <w:spacing w:after="160" w:line="278" w:lineRule="auto"/>
        <w:ind w:firstLine="420"/>
        <w:rPr>
          <w:rFonts w:hint="eastAsia"/>
        </w:rPr>
      </w:pPr>
      <w:r>
        <w:rPr>
          <w:rFonts w:hint="eastAsia"/>
        </w:rPr>
        <w:t>DB3710/T 111-2020 威海苹果鲜果分级与检验</w:t>
      </w:r>
    </w:p>
    <w:p w14:paraId="06DC1AC1">
      <w:pPr>
        <w:pStyle w:val="106"/>
        <w:spacing w:before="240" w:after="240" w:line="278" w:lineRule="auto"/>
      </w:pPr>
      <w:bookmarkStart w:id="42" w:name="_Toc97192966"/>
      <w:r>
        <w:rPr>
          <w:rFonts w:hint="eastAsia"/>
        </w:rPr>
        <w:t>术语和定义</w:t>
      </w:r>
      <w:bookmarkEnd w:id="42"/>
    </w:p>
    <w:sdt>
      <w:sdtPr>
        <w:rPr>
          <w:highlight w:val="yellow"/>
        </w:rPr>
        <w:id w:val="-1909835108"/>
        <w:placeholder>
          <w:docPart w:val="FA409BC25BE9421BB6FF609425ED607E"/>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14:paraId="6CC9DF41">
          <w:pPr>
            <w:pStyle w:val="58"/>
            <w:spacing w:after="160" w:line="278" w:lineRule="auto"/>
            <w:ind w:firstLine="420"/>
            <w:rPr>
              <w:highlight w:val="none"/>
            </w:rPr>
          </w:pPr>
          <w:bookmarkStart w:id="43" w:name="_Toc26986532"/>
          <w:bookmarkEnd w:id="43"/>
          <w:r>
            <w:rPr>
              <w:highlight w:val="none"/>
            </w:rPr>
            <w:t>GB/T 10651 鲜苹果界定的以及下列术语和定义适用于本文件。</w:t>
          </w:r>
        </w:p>
      </w:sdtContent>
    </w:sdt>
    <w:p w14:paraId="1F5D808E">
      <w:pPr>
        <w:pStyle w:val="26"/>
        <w:spacing w:before="0" w:beforeAutospacing="0" w:after="0" w:afterAutospacing="0"/>
        <w:jc w:val="both"/>
        <w:rPr>
          <w:rFonts w:ascii="黑体" w:hAnsi="黑体" w:eastAsia="黑体" w:cs="Times New Roman"/>
          <w:color w:val="000000" w:themeColor="text1"/>
          <w:sz w:val="21"/>
          <w:szCs w:val="21"/>
          <w14:textFill>
            <w14:solidFill>
              <w14:schemeClr w14:val="tx1"/>
            </w14:solidFill>
          </w14:textFill>
        </w:rPr>
      </w:pPr>
      <w:r>
        <w:rPr>
          <w:rFonts w:ascii="黑体" w:hAnsi="黑体" w:eastAsia="黑体" w:cs="Times New Roman"/>
          <w:color w:val="000000" w:themeColor="text1"/>
          <w:sz w:val="21"/>
          <w:szCs w:val="21"/>
          <w14:textFill>
            <w14:solidFill>
              <w14:schemeClr w14:val="tx1"/>
            </w14:solidFill>
          </w14:textFill>
        </w:rPr>
        <w:t>3.</w:t>
      </w:r>
      <w:r>
        <w:rPr>
          <w:rFonts w:hint="eastAsia" w:ascii="黑体" w:hAnsi="黑体" w:eastAsia="黑体" w:cs="Times New Roman"/>
          <w:color w:val="000000" w:themeColor="text1"/>
          <w:sz w:val="21"/>
          <w:szCs w:val="21"/>
          <w14:textFill>
            <w14:solidFill>
              <w14:schemeClr w14:val="tx1"/>
            </w14:solidFill>
          </w14:textFill>
        </w:rPr>
        <w:t>1</w:t>
      </w:r>
    </w:p>
    <w:p w14:paraId="67C99B5D">
      <w:pPr>
        <w:pStyle w:val="58"/>
        <w:spacing w:after="160" w:line="278" w:lineRule="auto"/>
        <w:ind w:firstLine="420"/>
        <w:rPr>
          <w:rFonts w:hint="eastAsia" w:ascii="黑体" w:hAnsi="黑体" w:eastAsia="黑体" w:cs="黑体"/>
          <w:b w:val="0"/>
          <w:bCs w:val="0"/>
          <w:highlight w:val="none"/>
        </w:rPr>
      </w:pPr>
      <w:r>
        <w:rPr>
          <w:rFonts w:hint="eastAsia" w:ascii="黑体" w:hAnsi="黑体" w:eastAsia="黑体" w:cs="黑体"/>
          <w:b w:val="0"/>
          <w:bCs w:val="0"/>
          <w:highlight w:val="none"/>
        </w:rPr>
        <w:t>横径 transverse diameter</w:t>
      </w:r>
    </w:p>
    <w:p w14:paraId="73B94FE6">
      <w:pPr>
        <w:pStyle w:val="58"/>
        <w:spacing w:after="160" w:line="278" w:lineRule="auto"/>
        <w:ind w:firstLine="420"/>
        <w:rPr>
          <w:rFonts w:hint="eastAsia"/>
          <w:highlight w:val="none"/>
        </w:rPr>
      </w:pPr>
      <w:r>
        <w:rPr>
          <w:rFonts w:hint="eastAsia"/>
          <w:highlight w:val="none"/>
        </w:rPr>
        <w:t>苹果果实沿中心轴切开，垂直于中心轴的最大直径。</w:t>
      </w:r>
    </w:p>
    <w:p w14:paraId="0A8E586A">
      <w:pPr>
        <w:pStyle w:val="58"/>
        <w:spacing w:after="160" w:line="278" w:lineRule="auto"/>
        <w:ind w:left="0" w:leftChars="0" w:firstLine="0" w:firstLineChars="0"/>
        <w:rPr>
          <w:rFonts w:hint="default" w:eastAsia="宋体"/>
          <w:highlight w:val="none"/>
          <w:lang w:val="en-US" w:eastAsia="zh-CN"/>
        </w:rPr>
      </w:pPr>
      <w:r>
        <w:rPr>
          <w:rFonts w:hint="eastAsia"/>
          <w:highlight w:val="none"/>
          <w:lang w:val="en-US" w:eastAsia="zh-CN"/>
        </w:rPr>
        <w:t>3.2</w:t>
      </w:r>
    </w:p>
    <w:p w14:paraId="0665A88B">
      <w:pPr>
        <w:pStyle w:val="58"/>
        <w:spacing w:after="160" w:line="278" w:lineRule="auto"/>
        <w:ind w:firstLine="420"/>
        <w:rPr>
          <w:rFonts w:hint="eastAsia" w:ascii="黑体" w:hAnsi="黑体" w:eastAsia="黑体" w:cs="黑体"/>
          <w:highlight w:val="none"/>
        </w:rPr>
      </w:pPr>
      <w:r>
        <w:rPr>
          <w:rFonts w:hint="eastAsia" w:ascii="黑体" w:hAnsi="黑体" w:eastAsia="黑体" w:cs="黑体"/>
          <w:highlight w:val="none"/>
        </w:rPr>
        <w:t>果锈 russeting</w:t>
      </w:r>
    </w:p>
    <w:p w14:paraId="67CEC53A">
      <w:pPr>
        <w:pStyle w:val="58"/>
        <w:spacing w:after="160" w:line="278" w:lineRule="auto"/>
        <w:ind w:firstLine="420"/>
        <w:rPr>
          <w:rFonts w:hint="eastAsia"/>
          <w:highlight w:val="none"/>
        </w:rPr>
      </w:pPr>
      <w:r>
        <w:rPr>
          <w:rFonts w:hint="eastAsia"/>
          <w:highlight w:val="none"/>
        </w:rPr>
        <w:t>由于外部环境或药害导致果皮细胞的不正常分裂产生木栓形成层，使角质层龟裂剥落形成的无光泽的暗褐色木栓化薄层或点状物的一种生理性病害。</w:t>
      </w:r>
    </w:p>
    <w:p w14:paraId="7F3AF444">
      <w:pPr>
        <w:pStyle w:val="58"/>
        <w:spacing w:after="160" w:line="278" w:lineRule="auto"/>
        <w:ind w:firstLine="420"/>
        <w:rPr>
          <w:rFonts w:hint="eastAsia"/>
          <w:sz w:val="18"/>
          <w:szCs w:val="16"/>
          <w:highlight w:val="none"/>
        </w:rPr>
      </w:pPr>
      <w:r>
        <w:rPr>
          <w:rFonts w:hint="eastAsia"/>
          <w:sz w:val="18"/>
          <w:szCs w:val="16"/>
          <w:highlight w:val="none"/>
        </w:rPr>
        <w:t>注：果锈主要分为片状锈斑和网状浅层锈斑。片状锈斑是指果面上形成的大小不等、形状不规整的浅褐色轻微粗糙的连片锈斑；网状浅层锈斑是指在果面上分布的平滑的网状浅层锈斑。</w:t>
      </w:r>
    </w:p>
    <w:p w14:paraId="5DD2F042">
      <w:pPr>
        <w:pStyle w:val="106"/>
        <w:spacing w:before="240" w:after="240" w:line="278" w:lineRule="auto"/>
        <w:rPr>
          <w:highlight w:val="none"/>
        </w:rPr>
      </w:pPr>
      <w:r>
        <w:rPr>
          <w:rFonts w:hint="eastAsia"/>
          <w:highlight w:val="none"/>
        </w:rPr>
        <w:t>等级和规格</w:t>
      </w:r>
      <w:r>
        <w:rPr>
          <w:highlight w:val="none"/>
        </w:rPr>
        <w:t>要求</w:t>
      </w:r>
    </w:p>
    <w:p w14:paraId="2E566D72">
      <w:pPr>
        <w:pStyle w:val="107"/>
        <w:spacing w:before="120" w:after="120"/>
      </w:pPr>
      <w:r>
        <w:rPr>
          <w:rFonts w:hint="eastAsia"/>
        </w:rPr>
        <w:t>等级要求</w:t>
      </w:r>
    </w:p>
    <w:p w14:paraId="51BC16F8">
      <w:pPr>
        <w:pStyle w:val="58"/>
        <w:ind w:firstLine="420"/>
      </w:pPr>
      <w:r>
        <w:rPr>
          <w:rFonts w:hint="eastAsia"/>
        </w:rPr>
        <w:t>等级划分为特级、一级、二级</w:t>
      </w:r>
      <w:r>
        <w:rPr>
          <w:color w:val="000000"/>
          <w:sz w:val="20"/>
        </w:rPr>
        <w:t>，</w:t>
      </w:r>
      <w:r>
        <w:rPr>
          <w:rFonts w:hint="eastAsia"/>
        </w:rPr>
        <w:t>各等级应符合表1的要求。</w:t>
      </w:r>
    </w:p>
    <w:p w14:paraId="316E8198">
      <w:pPr>
        <w:pStyle w:val="114"/>
        <w:spacing w:before="120" w:after="120"/>
      </w:pPr>
      <w:r>
        <w:t>等级要求</w:t>
      </w:r>
    </w:p>
    <w:tbl>
      <w:tblPr>
        <w:tblStyle w:val="28"/>
        <w:tblW w:w="8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2410"/>
        <w:gridCol w:w="2410"/>
        <w:gridCol w:w="2270"/>
      </w:tblGrid>
      <w:tr w14:paraId="7E74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gridSpan w:val="2"/>
            <w:vMerge w:val="restart"/>
            <w:vAlign w:val="center"/>
          </w:tcPr>
          <w:p w14:paraId="340FFCD3">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项目</w:t>
            </w:r>
          </w:p>
        </w:tc>
        <w:tc>
          <w:tcPr>
            <w:tcW w:w="7090" w:type="dxa"/>
            <w:gridSpan w:val="3"/>
            <w:vAlign w:val="center"/>
          </w:tcPr>
          <w:p w14:paraId="0C2685B0">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等级</w:t>
            </w:r>
          </w:p>
        </w:tc>
      </w:tr>
      <w:tr w14:paraId="2E5E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gridSpan w:val="2"/>
            <w:vMerge w:val="continue"/>
            <w:vAlign w:val="center"/>
          </w:tcPr>
          <w:p w14:paraId="6A540E61">
            <w:pPr>
              <w:pStyle w:val="233"/>
              <w:ind w:firstLine="0" w:firstLineChars="0"/>
              <w:jc w:val="center"/>
              <w:rPr>
                <w:rFonts w:ascii="Times New Roman"/>
                <w:color w:val="000000" w:themeColor="text1"/>
                <w:sz w:val="20"/>
                <w14:textFill>
                  <w14:solidFill>
                    <w14:schemeClr w14:val="tx1"/>
                  </w14:solidFill>
                </w14:textFill>
              </w:rPr>
            </w:pPr>
          </w:p>
        </w:tc>
        <w:tc>
          <w:tcPr>
            <w:tcW w:w="2410" w:type="dxa"/>
            <w:vAlign w:val="center"/>
          </w:tcPr>
          <w:p w14:paraId="736F16AA">
            <w:pPr>
              <w:pStyle w:val="233"/>
              <w:ind w:firstLine="0" w:firstLineChars="0"/>
              <w:jc w:val="center"/>
              <w:rPr>
                <w:rFonts w:ascii="Times New Roman"/>
                <w:color w:val="000000" w:themeColor="text1"/>
                <w:sz w:val="20"/>
                <w14:textFill>
                  <w14:solidFill>
                    <w14:schemeClr w14:val="tx1"/>
                  </w14:solidFill>
                </w14:textFill>
              </w:rPr>
            </w:pPr>
            <w:r>
              <w:rPr>
                <w:rFonts w:hint="eastAsia" w:ascii="Times New Roman"/>
                <w:color w:val="000000" w:themeColor="text1"/>
                <w:sz w:val="20"/>
                <w14:textFill>
                  <w14:solidFill>
                    <w14:schemeClr w14:val="tx1"/>
                  </w14:solidFill>
                </w14:textFill>
              </w:rPr>
              <w:t>特级</w:t>
            </w:r>
          </w:p>
        </w:tc>
        <w:tc>
          <w:tcPr>
            <w:tcW w:w="2410" w:type="dxa"/>
            <w:vAlign w:val="center"/>
          </w:tcPr>
          <w:p w14:paraId="6560DDB2">
            <w:pPr>
              <w:pStyle w:val="233"/>
              <w:ind w:left="252" w:hanging="252" w:hangingChars="126"/>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一</w:t>
            </w:r>
            <w:r>
              <w:rPr>
                <w:rFonts w:hint="eastAsia" w:ascii="Times New Roman"/>
                <w:color w:val="000000" w:themeColor="text1"/>
                <w:sz w:val="20"/>
                <w14:textFill>
                  <w14:solidFill>
                    <w14:schemeClr w14:val="tx1"/>
                  </w14:solidFill>
                </w14:textFill>
              </w:rPr>
              <w:t>级</w:t>
            </w:r>
          </w:p>
        </w:tc>
        <w:tc>
          <w:tcPr>
            <w:tcW w:w="2270" w:type="dxa"/>
            <w:vAlign w:val="center"/>
          </w:tcPr>
          <w:p w14:paraId="4FE4F5E3">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二</w:t>
            </w:r>
            <w:r>
              <w:rPr>
                <w:rFonts w:hint="eastAsia" w:ascii="Times New Roman"/>
                <w:color w:val="000000" w:themeColor="text1"/>
                <w:sz w:val="20"/>
                <w14:textFill>
                  <w14:solidFill>
                    <w14:schemeClr w14:val="tx1"/>
                  </w14:solidFill>
                </w14:textFill>
              </w:rPr>
              <w:t>级</w:t>
            </w:r>
          </w:p>
        </w:tc>
      </w:tr>
      <w:tr w14:paraId="7B7B2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696" w:type="dxa"/>
            <w:gridSpan w:val="2"/>
            <w:vAlign w:val="center"/>
          </w:tcPr>
          <w:p w14:paraId="5FBB2756">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基本要求</w:t>
            </w:r>
          </w:p>
        </w:tc>
        <w:tc>
          <w:tcPr>
            <w:tcW w:w="7090" w:type="dxa"/>
            <w:gridSpan w:val="3"/>
            <w:vAlign w:val="center"/>
          </w:tcPr>
          <w:p w14:paraId="48DF1D04">
            <w:pPr>
              <w:pStyle w:val="233"/>
              <w:ind w:firstLine="0" w:firstLineChars="0"/>
              <w:jc w:val="left"/>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果实新鲜洁净；</w:t>
            </w:r>
          </w:p>
          <w:p w14:paraId="27606057">
            <w:pPr>
              <w:pStyle w:val="233"/>
              <w:ind w:firstLine="0" w:firstLineChars="0"/>
              <w:jc w:val="left"/>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无褐变、病</w:t>
            </w:r>
            <w:r>
              <w:rPr>
                <w:rFonts w:hint="eastAsia" w:ascii="Times New Roman"/>
                <w:color w:val="000000" w:themeColor="text1"/>
                <w:sz w:val="20"/>
                <w14:textFill>
                  <w14:solidFill>
                    <w14:schemeClr w14:val="tx1"/>
                  </w14:solidFill>
                </w14:textFill>
              </w:rPr>
              <w:t>斑</w:t>
            </w:r>
            <w:r>
              <w:rPr>
                <w:rFonts w:ascii="Times New Roman"/>
                <w:color w:val="000000" w:themeColor="text1"/>
                <w:sz w:val="20"/>
                <w14:textFill>
                  <w14:solidFill>
                    <w14:schemeClr w14:val="tx1"/>
                  </w14:solidFill>
                </w14:textFill>
              </w:rPr>
              <w:t>、虫果、</w:t>
            </w:r>
            <w:r>
              <w:rPr>
                <w:rFonts w:hint="eastAsia" w:ascii="Times New Roman"/>
                <w:color w:val="000000" w:themeColor="text1"/>
                <w:sz w:val="20"/>
                <w14:textFill>
                  <w14:solidFill>
                    <w14:schemeClr w14:val="tx1"/>
                  </w14:solidFill>
                </w14:textFill>
              </w:rPr>
              <w:t>霉心、日灼伤</w:t>
            </w:r>
            <w:r>
              <w:rPr>
                <w:rFonts w:ascii="Times New Roman"/>
                <w:color w:val="000000" w:themeColor="text1"/>
                <w:sz w:val="20"/>
                <w14:textFill>
                  <w14:solidFill>
                    <w14:schemeClr w14:val="tx1"/>
                  </w14:solidFill>
                </w14:textFill>
              </w:rPr>
              <w:t>，</w:t>
            </w:r>
            <w:r>
              <w:rPr>
                <w:rFonts w:hint="eastAsia" w:ascii="Times New Roman"/>
                <w:color w:val="000000" w:themeColor="text1"/>
                <w:sz w:val="20"/>
                <w14:textFill>
                  <w14:solidFill>
                    <w14:schemeClr w14:val="tx1"/>
                  </w14:solidFill>
                </w14:textFill>
              </w:rPr>
              <w:t>无机械伤、</w:t>
            </w:r>
            <w:r>
              <w:rPr>
                <w:rFonts w:ascii="Times New Roman"/>
                <w:color w:val="000000" w:themeColor="text1"/>
                <w:sz w:val="20"/>
                <w14:textFill>
                  <w14:solidFill>
                    <w14:schemeClr w14:val="tx1"/>
                  </w14:solidFill>
                </w14:textFill>
              </w:rPr>
              <w:t>异味；</w:t>
            </w:r>
          </w:p>
          <w:p w14:paraId="764AD7F5">
            <w:pPr>
              <w:pStyle w:val="233"/>
              <w:ind w:firstLine="0" w:firstLineChars="0"/>
              <w:jc w:val="left"/>
              <w:rPr>
                <w:rFonts w:ascii="Times New Roman"/>
                <w:color w:val="000000" w:themeColor="text1"/>
                <w:sz w:val="20"/>
                <w14:textFill>
                  <w14:solidFill>
                    <w14:schemeClr w14:val="tx1"/>
                  </w14:solidFill>
                </w14:textFill>
              </w:rPr>
            </w:pPr>
            <w:r>
              <w:rPr>
                <w:rFonts w:hint="eastAsia" w:hAnsi="宋体"/>
                <w:color w:val="000000"/>
                <w:sz w:val="20"/>
              </w:rPr>
              <w:t>具有本品种固有特征和风味，以及</w:t>
            </w:r>
            <w:r>
              <w:rPr>
                <w:rFonts w:ascii="Times New Roman"/>
                <w:color w:val="000000" w:themeColor="text1"/>
                <w:sz w:val="20"/>
                <w14:textFill>
                  <w14:solidFill>
                    <w14:schemeClr w14:val="tx1"/>
                  </w14:solidFill>
                </w14:textFill>
              </w:rPr>
              <w:t>适宜市场或贮存要求的成熟度。</w:t>
            </w:r>
          </w:p>
        </w:tc>
      </w:tr>
      <w:tr w14:paraId="19668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gridSpan w:val="2"/>
            <w:vAlign w:val="center"/>
          </w:tcPr>
          <w:p w14:paraId="7935B654">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色泽</w:t>
            </w:r>
          </w:p>
        </w:tc>
        <w:tc>
          <w:tcPr>
            <w:tcW w:w="2410" w:type="dxa"/>
            <w:vAlign w:val="center"/>
          </w:tcPr>
          <w:p w14:paraId="3D018BEB">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金黄色</w:t>
            </w:r>
          </w:p>
        </w:tc>
        <w:tc>
          <w:tcPr>
            <w:tcW w:w="2410" w:type="dxa"/>
            <w:vAlign w:val="center"/>
          </w:tcPr>
          <w:p w14:paraId="7B447819">
            <w:pPr>
              <w:pStyle w:val="233"/>
              <w:ind w:firstLine="0" w:firstLineChars="0"/>
              <w:jc w:val="center"/>
              <w:rPr>
                <w:rFonts w:ascii="Times New Roman"/>
                <w:color w:val="000000" w:themeColor="text1"/>
                <w:sz w:val="20"/>
                <w14:textFill>
                  <w14:solidFill>
                    <w14:schemeClr w14:val="tx1"/>
                  </w14:solidFill>
                </w14:textFill>
              </w:rPr>
            </w:pPr>
            <w:bookmarkStart w:id="44" w:name="OLE_LINK30"/>
            <w:r>
              <w:rPr>
                <w:rFonts w:ascii="Times New Roman"/>
                <w:color w:val="000000" w:themeColor="text1"/>
                <w:sz w:val="20"/>
                <w14:textFill>
                  <w14:solidFill>
                    <w14:schemeClr w14:val="tx1"/>
                  </w14:solidFill>
                </w14:textFill>
              </w:rPr>
              <w:t>黄、绿黄色</w:t>
            </w:r>
            <w:bookmarkEnd w:id="44"/>
          </w:p>
        </w:tc>
        <w:tc>
          <w:tcPr>
            <w:tcW w:w="2270" w:type="dxa"/>
            <w:vAlign w:val="center"/>
          </w:tcPr>
          <w:p w14:paraId="17CDF58F">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黄、绿黄色</w:t>
            </w:r>
          </w:p>
        </w:tc>
      </w:tr>
      <w:tr w14:paraId="5747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gridSpan w:val="2"/>
            <w:vAlign w:val="center"/>
          </w:tcPr>
          <w:p w14:paraId="7CBC7600">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果形</w:t>
            </w:r>
          </w:p>
        </w:tc>
        <w:tc>
          <w:tcPr>
            <w:tcW w:w="2410" w:type="dxa"/>
            <w:vAlign w:val="center"/>
          </w:tcPr>
          <w:p w14:paraId="00CEC285">
            <w:pPr>
              <w:pStyle w:val="233"/>
              <w:ind w:firstLine="0" w:firstLineChars="0"/>
              <w:jc w:val="center"/>
              <w:rPr>
                <w:rFonts w:ascii="Times New Roman"/>
                <w:color w:val="000000" w:themeColor="text1"/>
                <w:sz w:val="20"/>
                <w14:textFill>
                  <w14:solidFill>
                    <w14:schemeClr w14:val="tx1"/>
                  </w14:solidFill>
                </w14:textFill>
              </w:rPr>
            </w:pPr>
            <w:r>
              <w:rPr>
                <w:rFonts w:hint="eastAsia" w:ascii="Times New Roman"/>
                <w:color w:val="000000" w:themeColor="text1"/>
                <w:sz w:val="20"/>
                <w14:textFill>
                  <w14:solidFill>
                    <w14:schemeClr w14:val="tx1"/>
                  </w14:solidFill>
                </w14:textFill>
              </w:rPr>
              <w:t>果形端正</w:t>
            </w:r>
            <w:r>
              <w:rPr>
                <w:rFonts w:ascii="Times New Roman"/>
                <w:color w:val="000000" w:themeColor="text1"/>
                <w:sz w:val="20"/>
                <w14:textFill>
                  <w14:solidFill>
                    <w14:schemeClr w14:val="tx1"/>
                  </w14:solidFill>
                </w14:textFill>
              </w:rPr>
              <w:t>；</w:t>
            </w:r>
            <w:r>
              <w:rPr>
                <w:rFonts w:hint="eastAsia" w:ascii="Times New Roman"/>
                <w:color w:val="000000" w:themeColor="text1"/>
                <w:sz w:val="20"/>
                <w14:textFill>
                  <w14:solidFill>
                    <w14:schemeClr w14:val="tx1"/>
                  </w14:solidFill>
                </w14:textFill>
              </w:rPr>
              <w:t>果梗完整</w:t>
            </w:r>
          </w:p>
        </w:tc>
        <w:tc>
          <w:tcPr>
            <w:tcW w:w="2410" w:type="dxa"/>
            <w:vAlign w:val="center"/>
          </w:tcPr>
          <w:p w14:paraId="6BE2E1FB">
            <w:pPr>
              <w:pStyle w:val="233"/>
              <w:ind w:firstLine="0" w:firstLineChars="0"/>
              <w:jc w:val="center"/>
              <w:rPr>
                <w:rFonts w:ascii="Times New Roman"/>
                <w:color w:val="000000" w:themeColor="text1"/>
                <w:sz w:val="20"/>
                <w14:textFill>
                  <w14:solidFill>
                    <w14:schemeClr w14:val="tx1"/>
                  </w14:solidFill>
                </w14:textFill>
              </w:rPr>
            </w:pPr>
            <w:r>
              <w:rPr>
                <w:rFonts w:hint="eastAsia" w:ascii="Times New Roman"/>
                <w:color w:val="000000" w:themeColor="text1"/>
                <w:sz w:val="20"/>
                <w14:textFill>
                  <w14:solidFill>
                    <w14:schemeClr w14:val="tx1"/>
                  </w14:solidFill>
                </w14:textFill>
              </w:rPr>
              <w:t>果形</w:t>
            </w:r>
            <w:r>
              <w:rPr>
                <w:rFonts w:ascii="Times New Roman"/>
                <w:color w:val="000000" w:themeColor="text1"/>
                <w:sz w:val="20"/>
                <w14:textFill>
                  <w14:solidFill>
                    <w14:schemeClr w14:val="tx1"/>
                  </w14:solidFill>
                </w14:textFill>
              </w:rPr>
              <w:t>端正；</w:t>
            </w:r>
            <w:r>
              <w:rPr>
                <w:rFonts w:hint="eastAsia" w:ascii="Times New Roman"/>
                <w:sz w:val="20"/>
              </w:rPr>
              <w:t>果梗</w:t>
            </w:r>
            <w:r>
              <w:rPr>
                <w:rFonts w:ascii="Times New Roman"/>
                <w:sz w:val="20"/>
              </w:rPr>
              <w:t>完整</w:t>
            </w:r>
          </w:p>
        </w:tc>
        <w:tc>
          <w:tcPr>
            <w:tcW w:w="2270" w:type="dxa"/>
            <w:vAlign w:val="center"/>
          </w:tcPr>
          <w:p w14:paraId="1C018FD3">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果形</w:t>
            </w:r>
            <w:r>
              <w:rPr>
                <w:rFonts w:hint="eastAsia" w:ascii="Times New Roman"/>
                <w:color w:val="000000" w:themeColor="text1"/>
                <w:sz w:val="20"/>
                <w14:textFill>
                  <w14:solidFill>
                    <w14:schemeClr w14:val="tx1"/>
                  </w14:solidFill>
                </w14:textFill>
              </w:rPr>
              <w:t>较端正</w:t>
            </w:r>
            <w:r>
              <w:rPr>
                <w:rFonts w:ascii="Times New Roman"/>
                <w:color w:val="000000" w:themeColor="text1"/>
                <w:sz w:val="20"/>
                <w14:textFill>
                  <w14:solidFill>
                    <w14:schemeClr w14:val="tx1"/>
                  </w14:solidFill>
                </w14:textFill>
              </w:rPr>
              <w:t>；</w:t>
            </w:r>
            <w:r>
              <w:rPr>
                <w:rFonts w:hint="eastAsia" w:ascii="Times New Roman"/>
                <w:sz w:val="20"/>
              </w:rPr>
              <w:t>果梗允许轻微损伤</w:t>
            </w:r>
          </w:p>
        </w:tc>
      </w:tr>
      <w:tr w14:paraId="2F60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gridSpan w:val="2"/>
            <w:vAlign w:val="center"/>
          </w:tcPr>
          <w:p w14:paraId="4EB69D8C">
            <w:pPr>
              <w:pStyle w:val="233"/>
              <w:ind w:firstLine="0" w:firstLineChars="0"/>
              <w:jc w:val="center"/>
              <w:rPr>
                <w:rFonts w:ascii="Times New Roman"/>
                <w:color w:val="000000" w:themeColor="text1"/>
                <w:sz w:val="20"/>
                <w14:textFill>
                  <w14:solidFill>
                    <w14:schemeClr w14:val="tx1"/>
                  </w14:solidFill>
                </w14:textFill>
              </w:rPr>
            </w:pPr>
            <w:r>
              <w:rPr>
                <w:rFonts w:hint="eastAsia" w:ascii="Times New Roman"/>
                <w:color w:val="000000" w:themeColor="text1"/>
                <w:sz w:val="20"/>
                <w14:textFill>
                  <w14:solidFill>
                    <w14:schemeClr w14:val="tx1"/>
                  </w14:solidFill>
                </w14:textFill>
              </w:rPr>
              <w:t>果面缺陷</w:t>
            </w:r>
          </w:p>
        </w:tc>
        <w:tc>
          <w:tcPr>
            <w:tcW w:w="2410" w:type="dxa"/>
            <w:vAlign w:val="center"/>
          </w:tcPr>
          <w:p w14:paraId="445C932E">
            <w:pPr>
              <w:pStyle w:val="233"/>
              <w:ind w:firstLine="0" w:firstLineChars="0"/>
              <w:jc w:val="center"/>
              <w:rPr>
                <w:rFonts w:ascii="Times New Roman"/>
                <w:color w:val="000000" w:themeColor="text1"/>
                <w:sz w:val="20"/>
                <w14:textFill>
                  <w14:solidFill>
                    <w14:schemeClr w14:val="tx1"/>
                  </w14:solidFill>
                </w14:textFill>
              </w:rPr>
            </w:pPr>
            <w:r>
              <w:rPr>
                <w:rFonts w:hint="eastAsia" w:ascii="Times New Roman"/>
                <w:color w:val="000000" w:themeColor="text1"/>
                <w:sz w:val="20"/>
                <w14:textFill>
                  <w14:solidFill>
                    <w14:schemeClr w14:val="tx1"/>
                  </w14:solidFill>
                </w14:textFill>
              </w:rPr>
              <w:t>无</w:t>
            </w:r>
          </w:p>
        </w:tc>
        <w:tc>
          <w:tcPr>
            <w:tcW w:w="2410" w:type="dxa"/>
            <w:vAlign w:val="center"/>
          </w:tcPr>
          <w:p w14:paraId="770EA4C6">
            <w:pPr>
              <w:pStyle w:val="233"/>
              <w:ind w:firstLine="0" w:firstLineChars="0"/>
              <w:jc w:val="center"/>
              <w:rPr>
                <w:rFonts w:ascii="Times New Roman"/>
                <w:color w:val="000000" w:themeColor="text1"/>
                <w:sz w:val="20"/>
                <w14:textFill>
                  <w14:solidFill>
                    <w14:schemeClr w14:val="tx1"/>
                  </w14:solidFill>
                </w14:textFill>
              </w:rPr>
            </w:pPr>
            <w:r>
              <w:rPr>
                <w:rFonts w:hint="eastAsia" w:ascii="Times New Roman"/>
                <w:color w:val="000000" w:themeColor="text1"/>
                <w:sz w:val="20"/>
                <w14:textFill>
                  <w14:solidFill>
                    <w14:schemeClr w14:val="tx1"/>
                  </w14:solidFill>
                </w14:textFill>
              </w:rPr>
              <w:t>无</w:t>
            </w:r>
          </w:p>
        </w:tc>
        <w:tc>
          <w:tcPr>
            <w:tcW w:w="2270" w:type="dxa"/>
            <w:vAlign w:val="center"/>
          </w:tcPr>
          <w:p w14:paraId="0BEEC1CF">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雹伤面积</w:t>
            </w:r>
            <w:r>
              <w:rPr>
                <w:rFonts w:ascii="Times New Roman"/>
                <w:color w:val="000000"/>
                <w:sz w:val="20"/>
              </w:rPr>
              <w:t>≤</w:t>
            </w:r>
            <w:r>
              <w:rPr>
                <w:rFonts w:ascii="Times New Roman"/>
                <w:color w:val="000000" w:themeColor="text1"/>
                <w:sz w:val="20"/>
                <w14:textFill>
                  <w14:solidFill>
                    <w14:schemeClr w14:val="tx1"/>
                  </w14:solidFill>
                </w14:textFill>
              </w:rPr>
              <w:t>0.5</w:t>
            </w:r>
            <w:r>
              <w:rPr>
                <w:rFonts w:hint="eastAsia" w:ascii="Times New Roman"/>
                <w:color w:val="000000" w:themeColor="text1"/>
                <w:sz w:val="20"/>
                <w14:textFill>
                  <w14:solidFill>
                    <w14:schemeClr w14:val="tx1"/>
                  </w14:solidFill>
                </w14:textFill>
              </w:rPr>
              <w:t xml:space="preserve"> </w:t>
            </w:r>
            <w:r>
              <w:rPr>
                <w:rFonts w:ascii="Times New Roman"/>
                <w:color w:val="000000" w:themeColor="text1"/>
                <w:sz w:val="20"/>
                <w14:textFill>
                  <w14:solidFill>
                    <w14:schemeClr w14:val="tx1"/>
                  </w14:solidFill>
                </w14:textFill>
              </w:rPr>
              <w:t>cm</w:t>
            </w:r>
            <w:r>
              <w:rPr>
                <w:rFonts w:ascii="Times New Roman"/>
                <w:color w:val="000000" w:themeColor="text1"/>
                <w:sz w:val="20"/>
                <w:vertAlign w:val="superscript"/>
                <w14:textFill>
                  <w14:solidFill>
                    <w14:schemeClr w14:val="tx1"/>
                  </w14:solidFill>
                </w14:textFill>
              </w:rPr>
              <w:t>2</w:t>
            </w:r>
            <w:r>
              <w:rPr>
                <w:rFonts w:ascii="Times New Roman"/>
                <w:color w:val="000000" w:themeColor="text1"/>
                <w:sz w:val="20"/>
                <w14:textFill>
                  <w14:solidFill>
                    <w14:schemeClr w14:val="tx1"/>
                  </w14:solidFill>
                </w14:textFill>
              </w:rPr>
              <w:t>；</w:t>
            </w:r>
            <w:r>
              <w:rPr>
                <w:rFonts w:hint="eastAsia" w:ascii="Times New Roman"/>
                <w:color w:val="000000" w:themeColor="text1"/>
                <w:sz w:val="20"/>
                <w14:textFill>
                  <w14:solidFill>
                    <w14:schemeClr w14:val="tx1"/>
                  </w14:solidFill>
                </w14:textFill>
              </w:rPr>
              <w:t>褐变面积</w:t>
            </w:r>
            <w:r>
              <w:rPr>
                <w:rFonts w:ascii="Times New Roman"/>
                <w:color w:val="000000"/>
                <w:sz w:val="20"/>
              </w:rPr>
              <w:t>≤</w:t>
            </w:r>
            <w:r>
              <w:rPr>
                <w:rFonts w:ascii="Times New Roman"/>
                <w:color w:val="000000" w:themeColor="text1"/>
                <w:sz w:val="20"/>
                <w14:textFill>
                  <w14:solidFill>
                    <w14:schemeClr w14:val="tx1"/>
                  </w14:solidFill>
                </w14:textFill>
              </w:rPr>
              <w:t>1 cm</w:t>
            </w:r>
            <w:r>
              <w:rPr>
                <w:rFonts w:ascii="Times New Roman"/>
                <w:color w:val="000000" w:themeColor="text1"/>
                <w:sz w:val="20"/>
                <w:vertAlign w:val="superscript"/>
                <w14:textFill>
                  <w14:solidFill>
                    <w14:schemeClr w14:val="tx1"/>
                  </w14:solidFill>
                </w14:textFill>
              </w:rPr>
              <w:t>2</w:t>
            </w:r>
            <w:r>
              <w:rPr>
                <w:rFonts w:ascii="Times New Roman"/>
                <w:color w:val="000000" w:themeColor="text1"/>
                <w:sz w:val="20"/>
                <w14:textFill>
                  <w14:solidFill>
                    <w14:schemeClr w14:val="tx1"/>
                  </w14:solidFill>
                </w14:textFill>
              </w:rPr>
              <w:t>；</w:t>
            </w:r>
            <w:r>
              <w:rPr>
                <w:rFonts w:hint="eastAsia" w:ascii="Times New Roman"/>
                <w:color w:val="000000" w:themeColor="text1"/>
                <w:sz w:val="20"/>
                <w14:textFill>
                  <w14:solidFill>
                    <w14:schemeClr w14:val="tx1"/>
                  </w14:solidFill>
                </w14:textFill>
              </w:rPr>
              <w:t>日灼面积</w:t>
            </w:r>
            <w:r>
              <w:rPr>
                <w:rFonts w:ascii="Times New Roman"/>
                <w:color w:val="000000"/>
                <w:sz w:val="20"/>
              </w:rPr>
              <w:t>≤</w:t>
            </w:r>
            <w:r>
              <w:rPr>
                <w:rFonts w:ascii="Times New Roman"/>
                <w:color w:val="000000" w:themeColor="text1"/>
                <w:sz w:val="20"/>
                <w14:textFill>
                  <w14:solidFill>
                    <w14:schemeClr w14:val="tx1"/>
                  </w14:solidFill>
                </w14:textFill>
              </w:rPr>
              <w:t>1 cm</w:t>
            </w:r>
            <w:r>
              <w:rPr>
                <w:rFonts w:ascii="Times New Roman"/>
                <w:color w:val="000000" w:themeColor="text1"/>
                <w:sz w:val="20"/>
                <w:vertAlign w:val="superscript"/>
                <w14:textFill>
                  <w14:solidFill>
                    <w14:schemeClr w14:val="tx1"/>
                  </w14:solidFill>
                </w14:textFill>
              </w:rPr>
              <w:t>2</w:t>
            </w:r>
          </w:p>
        </w:tc>
      </w:tr>
      <w:tr w14:paraId="3EAF7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04" w:type="dxa"/>
            <w:vMerge w:val="restart"/>
            <w:vAlign w:val="center"/>
          </w:tcPr>
          <w:p w14:paraId="34531C12">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果锈</w:t>
            </w:r>
          </w:p>
        </w:tc>
        <w:tc>
          <w:tcPr>
            <w:tcW w:w="992" w:type="dxa"/>
            <w:vAlign w:val="center"/>
          </w:tcPr>
          <w:p w14:paraId="042C63BC">
            <w:pPr>
              <w:pStyle w:val="233"/>
              <w:ind w:firstLine="0" w:firstLineChars="0"/>
              <w:jc w:val="center"/>
              <w:rPr>
                <w:rFonts w:ascii="Times New Roman"/>
                <w:color w:val="000000" w:themeColor="text1"/>
                <w:sz w:val="20"/>
                <w14:textFill>
                  <w14:solidFill>
                    <w14:schemeClr w14:val="tx1"/>
                  </w14:solidFill>
                </w14:textFill>
              </w:rPr>
            </w:pPr>
            <w:bookmarkStart w:id="45" w:name="OLE_LINK19"/>
            <w:r>
              <w:rPr>
                <w:rFonts w:ascii="Times New Roman"/>
                <w:color w:val="000000" w:themeColor="text1"/>
                <w:sz w:val="20"/>
                <w14:textFill>
                  <w14:solidFill>
                    <w14:schemeClr w14:val="tx1"/>
                  </w14:solidFill>
                </w14:textFill>
              </w:rPr>
              <w:t>褐色片锈（梗洼锈）</w:t>
            </w:r>
            <w:bookmarkEnd w:id="45"/>
          </w:p>
        </w:tc>
        <w:tc>
          <w:tcPr>
            <w:tcW w:w="2410" w:type="dxa"/>
            <w:vAlign w:val="center"/>
          </w:tcPr>
          <w:p w14:paraId="3AE9472F">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410" w:type="dxa"/>
            <w:vAlign w:val="center"/>
          </w:tcPr>
          <w:p w14:paraId="5DC4EE10">
            <w:pPr>
              <w:pStyle w:val="25"/>
              <w:rPr>
                <w:rFonts w:ascii="Times New Roman" w:hAnsi="Times New Roman" w:cs="Times New Roman"/>
                <w:sz w:val="20"/>
                <w:szCs w:val="20"/>
              </w:rPr>
            </w:pPr>
            <w:r>
              <w:rPr>
                <w:rFonts w:ascii="Times New Roman" w:hAnsi="Times New Roman" w:cs="Times New Roman"/>
                <w:sz w:val="20"/>
                <w:szCs w:val="20"/>
              </w:rPr>
              <w:t>不超过梗洼，有不粗糙的轻微梗洼锈</w:t>
            </w:r>
          </w:p>
        </w:tc>
        <w:tc>
          <w:tcPr>
            <w:tcW w:w="2270" w:type="dxa"/>
            <w:vAlign w:val="center"/>
          </w:tcPr>
          <w:p w14:paraId="0E9D04E3">
            <w:pPr>
              <w:pStyle w:val="26"/>
              <w:rPr>
                <w:rFonts w:ascii="Times New Roman" w:hAnsi="Times New Roman" w:cs="Times New Roman"/>
                <w:sz w:val="20"/>
                <w:szCs w:val="20"/>
              </w:rPr>
            </w:pPr>
            <w:r>
              <w:rPr>
                <w:rFonts w:ascii="Times New Roman" w:hAnsi="Times New Roman" w:cs="Times New Roman"/>
                <w:sz w:val="20"/>
                <w:szCs w:val="20"/>
              </w:rPr>
              <w:t xml:space="preserve">有轻微超过梗洼外的锈斑，表面不粗糙，单边宽度≤0.5 cm </w:t>
            </w:r>
          </w:p>
        </w:tc>
      </w:tr>
      <w:tr w14:paraId="4FB7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04" w:type="dxa"/>
            <w:vMerge w:val="continue"/>
            <w:vAlign w:val="center"/>
          </w:tcPr>
          <w:p w14:paraId="5024E36D">
            <w:pPr>
              <w:pStyle w:val="233"/>
              <w:ind w:firstLine="0" w:firstLineChars="0"/>
              <w:jc w:val="center"/>
              <w:rPr>
                <w:rFonts w:ascii="Times New Roman"/>
                <w:color w:val="000000" w:themeColor="text1"/>
                <w:sz w:val="20"/>
                <w14:textFill>
                  <w14:solidFill>
                    <w14:schemeClr w14:val="tx1"/>
                  </w14:solidFill>
                </w14:textFill>
              </w:rPr>
            </w:pPr>
          </w:p>
        </w:tc>
        <w:tc>
          <w:tcPr>
            <w:tcW w:w="992" w:type="dxa"/>
            <w:vAlign w:val="center"/>
          </w:tcPr>
          <w:p w14:paraId="7A837B3B">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网状薄层（萼洼锈）</w:t>
            </w:r>
          </w:p>
        </w:tc>
        <w:tc>
          <w:tcPr>
            <w:tcW w:w="2410" w:type="dxa"/>
            <w:vAlign w:val="center"/>
          </w:tcPr>
          <w:p w14:paraId="06483377">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410" w:type="dxa"/>
            <w:vAlign w:val="center"/>
          </w:tcPr>
          <w:p w14:paraId="39DDCF73">
            <w:pPr>
              <w:pStyle w:val="26"/>
              <w:rPr>
                <w:rFonts w:ascii="Times New Roman" w:hAnsi="Times New Roman" w:cs="Times New Roman"/>
                <w:sz w:val="20"/>
                <w:szCs w:val="20"/>
              </w:rPr>
            </w:pPr>
            <w:r>
              <w:rPr>
                <w:rFonts w:ascii="Times New Roman" w:hAnsi="Times New Roman" w:cs="Times New Roman"/>
                <w:sz w:val="20"/>
                <w:szCs w:val="20"/>
              </w:rPr>
              <w:t xml:space="preserve">不超过萼洼的轻微萼锈 </w:t>
            </w:r>
          </w:p>
        </w:tc>
        <w:tc>
          <w:tcPr>
            <w:tcW w:w="2270" w:type="dxa"/>
            <w:vAlign w:val="center"/>
          </w:tcPr>
          <w:p w14:paraId="75F203F4">
            <w:pPr>
              <w:pStyle w:val="26"/>
              <w:rPr>
                <w:rFonts w:ascii="Times New Roman" w:hAnsi="Times New Roman" w:cs="Times New Roman"/>
                <w:sz w:val="20"/>
                <w:szCs w:val="20"/>
              </w:rPr>
            </w:pPr>
            <w:r>
              <w:rPr>
                <w:rFonts w:ascii="Times New Roman" w:hAnsi="Times New Roman" w:cs="Times New Roman"/>
                <w:sz w:val="20"/>
                <w:szCs w:val="20"/>
              </w:rPr>
              <w:t>有平滑网状薄层，总面积不超过果面的10%</w:t>
            </w:r>
          </w:p>
        </w:tc>
      </w:tr>
      <w:tr w14:paraId="43678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04" w:type="dxa"/>
            <w:vMerge w:val="continue"/>
            <w:vAlign w:val="center"/>
          </w:tcPr>
          <w:p w14:paraId="5BBA45BE">
            <w:pPr>
              <w:pStyle w:val="233"/>
              <w:ind w:firstLine="0" w:firstLineChars="0"/>
              <w:jc w:val="center"/>
              <w:rPr>
                <w:rFonts w:ascii="Times New Roman"/>
                <w:color w:val="000000" w:themeColor="text1"/>
                <w:sz w:val="20"/>
                <w14:textFill>
                  <w14:solidFill>
                    <w14:schemeClr w14:val="tx1"/>
                  </w14:solidFill>
                </w14:textFill>
              </w:rPr>
            </w:pPr>
          </w:p>
        </w:tc>
        <w:tc>
          <w:tcPr>
            <w:tcW w:w="992" w:type="dxa"/>
            <w:vAlign w:val="center"/>
          </w:tcPr>
          <w:p w14:paraId="580B0444">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重锈斑（果面锈）</w:t>
            </w:r>
          </w:p>
        </w:tc>
        <w:tc>
          <w:tcPr>
            <w:tcW w:w="2410" w:type="dxa"/>
            <w:vAlign w:val="center"/>
          </w:tcPr>
          <w:p w14:paraId="52DCA359">
            <w:pPr>
              <w:pStyle w:val="233"/>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410" w:type="dxa"/>
            <w:vAlign w:val="center"/>
          </w:tcPr>
          <w:p w14:paraId="14935FA5">
            <w:pPr>
              <w:pStyle w:val="233"/>
              <w:ind w:firstLine="0" w:firstLineChars="0"/>
              <w:jc w:val="center"/>
              <w:rPr>
                <w:rFonts w:ascii="Times New Roman"/>
                <w:color w:val="000000" w:themeColor="text1"/>
                <w:sz w:val="20"/>
                <w14:textFill>
                  <w14:solidFill>
                    <w14:schemeClr w14:val="tx1"/>
                  </w14:solidFill>
                </w14:textFill>
              </w:rPr>
            </w:pPr>
            <w:r>
              <w:rPr>
                <w:rFonts w:ascii="Times New Roman"/>
                <w:sz w:val="20"/>
              </w:rPr>
              <w:t>不得超过果面的2%</w:t>
            </w:r>
          </w:p>
        </w:tc>
        <w:tc>
          <w:tcPr>
            <w:tcW w:w="2270" w:type="dxa"/>
            <w:vAlign w:val="center"/>
          </w:tcPr>
          <w:p w14:paraId="7C110A34">
            <w:pPr>
              <w:pStyle w:val="26"/>
              <w:rPr>
                <w:rFonts w:ascii="Times New Roman" w:hAnsi="Times New Roman" w:cs="Times New Roman"/>
                <w:sz w:val="20"/>
                <w:szCs w:val="20"/>
              </w:rPr>
            </w:pPr>
            <w:r>
              <w:rPr>
                <w:rFonts w:ascii="Times New Roman" w:hAnsi="Times New Roman" w:cs="Times New Roman"/>
                <w:sz w:val="20"/>
                <w:szCs w:val="20"/>
              </w:rPr>
              <w:t>不得超过果面的5%</w:t>
            </w:r>
          </w:p>
        </w:tc>
      </w:tr>
      <w:tr w14:paraId="6C58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gridSpan w:val="2"/>
            <w:shd w:val="clear" w:color="auto" w:fill="auto"/>
            <w:vAlign w:val="center"/>
          </w:tcPr>
          <w:p w14:paraId="76A0B2DE">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bookmarkStart w:id="46" w:name="_Toc4283"/>
            <w:r>
              <w:rPr>
                <w:rFonts w:hint="eastAsia" w:ascii="Times New Roman"/>
                <w:color w:val="000000" w:themeColor="text1"/>
                <w:sz w:val="20"/>
                <w14:textFill>
                  <w14:solidFill>
                    <w14:schemeClr w14:val="tx1"/>
                  </w14:solidFill>
                </w14:textFill>
              </w:rPr>
              <w:t>可溶性固形物含量</w:t>
            </w:r>
          </w:p>
        </w:tc>
        <w:tc>
          <w:tcPr>
            <w:tcW w:w="2410" w:type="dxa"/>
            <w:shd w:val="clear" w:color="auto" w:fill="auto"/>
            <w:vAlign w:val="center"/>
          </w:tcPr>
          <w:p w14:paraId="5F3A2833">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ascii="Times New Roman"/>
                <w:color w:val="000000" w:themeColor="text1"/>
                <w:sz w:val="20"/>
                <w14:textFill>
                  <w14:solidFill>
                    <w14:schemeClr w14:val="tx1"/>
                  </w14:solidFill>
                </w14:textFill>
              </w:rPr>
              <w:t>≥</w:t>
            </w:r>
            <w:r>
              <w:rPr>
                <w:rFonts w:ascii="Times New Roman"/>
                <w:color w:val="000000"/>
                <w:sz w:val="20"/>
              </w:rPr>
              <w:t>1</w:t>
            </w:r>
            <w:r>
              <w:rPr>
                <w:rFonts w:hint="eastAsia" w:ascii="Times New Roman"/>
                <w:color w:val="000000"/>
                <w:sz w:val="20"/>
                <w:lang w:val="en-US" w:eastAsia="zh-CN"/>
              </w:rPr>
              <w:t>6</w:t>
            </w:r>
            <w:r>
              <w:rPr>
                <w:rFonts w:ascii="Times New Roman"/>
                <w:color w:val="000000"/>
                <w:sz w:val="20"/>
              </w:rPr>
              <w:t>%</w:t>
            </w:r>
          </w:p>
        </w:tc>
        <w:tc>
          <w:tcPr>
            <w:tcW w:w="2410" w:type="dxa"/>
            <w:shd w:val="clear" w:color="auto" w:fill="auto"/>
            <w:vAlign w:val="center"/>
          </w:tcPr>
          <w:p w14:paraId="6263D801">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ascii="Times New Roman"/>
                <w:color w:val="000000" w:themeColor="text1"/>
                <w:sz w:val="20"/>
                <w14:textFill>
                  <w14:solidFill>
                    <w14:schemeClr w14:val="tx1"/>
                  </w14:solidFill>
                </w14:textFill>
              </w:rPr>
              <w:t>≥</w:t>
            </w:r>
            <w:r>
              <w:rPr>
                <w:rFonts w:ascii="Times New Roman"/>
                <w:color w:val="000000"/>
                <w:sz w:val="20"/>
              </w:rPr>
              <w:t>1</w:t>
            </w:r>
            <w:r>
              <w:rPr>
                <w:rFonts w:hint="eastAsia" w:ascii="Times New Roman"/>
                <w:color w:val="000000"/>
                <w:sz w:val="20"/>
                <w:lang w:val="en-US" w:eastAsia="zh-CN"/>
              </w:rPr>
              <w:t>4.5</w:t>
            </w:r>
            <w:r>
              <w:rPr>
                <w:rFonts w:ascii="Times New Roman"/>
                <w:color w:val="000000"/>
                <w:sz w:val="20"/>
              </w:rPr>
              <w:t>%</w:t>
            </w:r>
          </w:p>
        </w:tc>
        <w:tc>
          <w:tcPr>
            <w:tcW w:w="2270" w:type="dxa"/>
            <w:shd w:val="clear" w:color="auto" w:fill="auto"/>
            <w:vAlign w:val="center"/>
          </w:tcPr>
          <w:p w14:paraId="3027D697">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ascii="Times New Roman"/>
                <w:color w:val="000000" w:themeColor="text1"/>
                <w:sz w:val="20"/>
                <w14:textFill>
                  <w14:solidFill>
                    <w14:schemeClr w14:val="tx1"/>
                  </w14:solidFill>
                </w14:textFill>
              </w:rPr>
              <w:t>≥</w:t>
            </w:r>
            <w:r>
              <w:rPr>
                <w:rFonts w:ascii="Times New Roman"/>
                <w:color w:val="000000"/>
                <w:sz w:val="20"/>
              </w:rPr>
              <w:t>1</w:t>
            </w:r>
            <w:r>
              <w:rPr>
                <w:rFonts w:hint="eastAsia" w:ascii="Times New Roman"/>
                <w:color w:val="000000"/>
                <w:sz w:val="20"/>
                <w:lang w:val="en-US" w:eastAsia="zh-CN"/>
              </w:rPr>
              <w:t>3</w:t>
            </w:r>
            <w:r>
              <w:rPr>
                <w:rFonts w:ascii="Times New Roman"/>
                <w:color w:val="000000"/>
                <w:sz w:val="20"/>
              </w:rPr>
              <w:t>%</w:t>
            </w:r>
          </w:p>
        </w:tc>
      </w:tr>
      <w:tr w14:paraId="3577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gridSpan w:val="2"/>
            <w:shd w:val="clear" w:color="auto" w:fill="auto"/>
            <w:vAlign w:val="center"/>
          </w:tcPr>
          <w:p w14:paraId="5FBC8FEC">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hint="eastAsia" w:ascii="Times New Roman"/>
                <w:color w:val="000000" w:themeColor="text1"/>
                <w:sz w:val="20"/>
                <w14:textFill>
                  <w14:solidFill>
                    <w14:schemeClr w14:val="tx1"/>
                  </w14:solidFill>
                </w14:textFill>
              </w:rPr>
              <w:t>总酸含量</w:t>
            </w:r>
          </w:p>
        </w:tc>
        <w:tc>
          <w:tcPr>
            <w:tcW w:w="2410" w:type="dxa"/>
            <w:shd w:val="clear" w:color="auto" w:fill="auto"/>
            <w:vAlign w:val="center"/>
          </w:tcPr>
          <w:p w14:paraId="403AE575">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ascii="Times New Roman"/>
                <w:color w:val="000000"/>
                <w:sz w:val="20"/>
              </w:rPr>
              <w:t>≤0.3%</w:t>
            </w:r>
          </w:p>
        </w:tc>
        <w:tc>
          <w:tcPr>
            <w:tcW w:w="2410" w:type="dxa"/>
            <w:shd w:val="clear" w:color="auto" w:fill="auto"/>
            <w:vAlign w:val="center"/>
          </w:tcPr>
          <w:p w14:paraId="7CEB8F06">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ascii="Times New Roman"/>
                <w:color w:val="000000"/>
                <w:sz w:val="20"/>
              </w:rPr>
              <w:t>≤0.</w:t>
            </w:r>
            <w:r>
              <w:rPr>
                <w:rFonts w:hint="eastAsia" w:ascii="Times New Roman"/>
                <w:color w:val="000000"/>
                <w:sz w:val="20"/>
              </w:rPr>
              <w:t>3</w:t>
            </w:r>
            <w:r>
              <w:rPr>
                <w:rFonts w:ascii="Times New Roman"/>
                <w:color w:val="000000"/>
                <w:sz w:val="20"/>
              </w:rPr>
              <w:t>%</w:t>
            </w:r>
          </w:p>
        </w:tc>
        <w:tc>
          <w:tcPr>
            <w:tcW w:w="2270" w:type="dxa"/>
            <w:shd w:val="clear" w:color="auto" w:fill="auto"/>
            <w:vAlign w:val="center"/>
          </w:tcPr>
          <w:p w14:paraId="59A54400">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ascii="Times New Roman"/>
                <w:color w:val="000000"/>
                <w:sz w:val="20"/>
              </w:rPr>
              <w:t>≤0.</w:t>
            </w:r>
            <w:r>
              <w:rPr>
                <w:rFonts w:hint="eastAsia" w:ascii="Times New Roman"/>
                <w:color w:val="000000"/>
                <w:sz w:val="20"/>
              </w:rPr>
              <w:t>3</w:t>
            </w:r>
            <w:r>
              <w:rPr>
                <w:rFonts w:ascii="Times New Roman"/>
                <w:color w:val="000000"/>
                <w:sz w:val="20"/>
              </w:rPr>
              <w:t>%</w:t>
            </w:r>
          </w:p>
        </w:tc>
      </w:tr>
      <w:tr w14:paraId="4F8F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gridSpan w:val="2"/>
            <w:shd w:val="clear" w:color="auto" w:fill="auto"/>
            <w:vAlign w:val="center"/>
          </w:tcPr>
          <w:p w14:paraId="06BF875F">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hint="eastAsia" w:ascii="Times New Roman"/>
                <w:color w:val="000000" w:themeColor="text1"/>
                <w:sz w:val="20"/>
                <w14:textFill>
                  <w14:solidFill>
                    <w14:schemeClr w14:val="tx1"/>
                  </w14:solidFill>
                </w14:textFill>
              </w:rPr>
              <w:t>香气</w:t>
            </w:r>
          </w:p>
        </w:tc>
        <w:tc>
          <w:tcPr>
            <w:tcW w:w="2410" w:type="dxa"/>
            <w:shd w:val="clear" w:color="auto" w:fill="auto"/>
            <w:vAlign w:val="center"/>
          </w:tcPr>
          <w:p w14:paraId="2D0FAB5B">
            <w:pPr>
              <w:pStyle w:val="233"/>
              <w:ind w:firstLine="0" w:firstLineChars="0"/>
              <w:jc w:val="center"/>
              <w:rPr>
                <w:rFonts w:hint="default" w:ascii="Times New Roman" w:hAnsi="Times New Roman" w:eastAsia="宋体" w:cs="Times New Roman"/>
                <w:color w:val="000000" w:themeColor="text1"/>
                <w:sz w:val="20"/>
                <w:lang w:val="en-US" w:eastAsia="zh-CN" w:bidi="ar-SA"/>
                <w14:textFill>
                  <w14:solidFill>
                    <w14:schemeClr w14:val="tx1"/>
                  </w14:solidFill>
                </w14:textFill>
              </w:rPr>
            </w:pPr>
            <w:r>
              <w:rPr>
                <w:rFonts w:hint="eastAsia" w:ascii="Times New Roman"/>
                <w:color w:val="000000" w:themeColor="text1"/>
                <w:sz w:val="20"/>
                <w14:textFill>
                  <w14:solidFill>
                    <w14:schemeClr w14:val="tx1"/>
                  </w14:solidFill>
                </w14:textFill>
              </w:rPr>
              <w:t>香气极其浓郁，具有威海金苹果典型的浓郁清新芳香味；感官评分≥8.5分</w:t>
            </w:r>
          </w:p>
        </w:tc>
        <w:tc>
          <w:tcPr>
            <w:tcW w:w="2410" w:type="dxa"/>
            <w:shd w:val="clear" w:color="auto" w:fill="auto"/>
            <w:vAlign w:val="center"/>
          </w:tcPr>
          <w:p w14:paraId="35ED32BA">
            <w:pPr>
              <w:pStyle w:val="233"/>
              <w:ind w:firstLine="0" w:firstLineChars="0"/>
              <w:jc w:val="center"/>
              <w:rPr>
                <w:rFonts w:hint="eastAsia" w:ascii="Times New Roman" w:hAnsi="Times New Roman" w:eastAsia="宋体" w:cs="Times New Roman"/>
                <w:color w:val="000000" w:themeColor="text1"/>
                <w:sz w:val="20"/>
                <w:lang w:val="en-US" w:eastAsia="zh-CN" w:bidi="ar-SA"/>
                <w14:textFill>
                  <w14:solidFill>
                    <w14:schemeClr w14:val="tx1"/>
                  </w14:solidFill>
                </w14:textFill>
              </w:rPr>
            </w:pPr>
            <w:r>
              <w:rPr>
                <w:rFonts w:hint="eastAsia" w:ascii="Times New Roman"/>
                <w:color w:val="000000" w:themeColor="text1"/>
                <w:sz w:val="20"/>
                <w14:textFill>
                  <w14:solidFill>
                    <w14:schemeClr w14:val="tx1"/>
                  </w14:solidFill>
                </w14:textFill>
              </w:rPr>
              <w:t>香气浓郁，具有威海金苹果品种固有香气；感官评分≥7.0分</w:t>
            </w:r>
          </w:p>
        </w:tc>
        <w:tc>
          <w:tcPr>
            <w:tcW w:w="2270" w:type="dxa"/>
            <w:shd w:val="clear" w:color="auto" w:fill="auto"/>
            <w:vAlign w:val="center"/>
          </w:tcPr>
          <w:p w14:paraId="3E7CDDE2">
            <w:pPr>
              <w:pStyle w:val="233"/>
              <w:ind w:firstLine="0" w:firstLineChars="0"/>
              <w:jc w:val="center"/>
              <w:rPr>
                <w:rFonts w:hint="default" w:ascii="Times New Roman" w:hAnsi="Times New Roman" w:eastAsia="宋体" w:cs="Times New Roman"/>
                <w:color w:val="000000" w:themeColor="text1"/>
                <w:sz w:val="20"/>
                <w:lang w:val="en-US" w:eastAsia="zh-CN" w:bidi="ar-SA"/>
                <w14:textFill>
                  <w14:solidFill>
                    <w14:schemeClr w14:val="tx1"/>
                  </w14:solidFill>
                </w14:textFill>
              </w:rPr>
            </w:pPr>
            <w:r>
              <w:rPr>
                <w:rFonts w:hint="eastAsia" w:ascii="Times New Roman"/>
                <w:color w:val="000000" w:themeColor="text1"/>
                <w:sz w:val="20"/>
                <w14:textFill>
                  <w14:solidFill>
                    <w14:schemeClr w14:val="tx1"/>
                  </w14:solidFill>
                </w14:textFill>
              </w:rPr>
              <w:t>具有苹果基本香气，无异味；感官评分≥5.5分</w:t>
            </w:r>
          </w:p>
        </w:tc>
      </w:tr>
      <w:tr w14:paraId="33A7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gridSpan w:val="2"/>
            <w:shd w:val="clear" w:color="auto" w:fill="auto"/>
            <w:vAlign w:val="center"/>
          </w:tcPr>
          <w:p w14:paraId="501D7E9A">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hint="eastAsia" w:ascii="Times New Roman"/>
                <w:color w:val="000000" w:themeColor="text1"/>
                <w:sz w:val="20"/>
                <w14:textFill>
                  <w14:solidFill>
                    <w14:schemeClr w14:val="tx1"/>
                  </w14:solidFill>
                </w14:textFill>
              </w:rPr>
              <w:t>横径</w:t>
            </w:r>
            <w:r>
              <w:rPr>
                <w:rFonts w:ascii="Times New Roman"/>
                <w:color w:val="000000" w:themeColor="text1"/>
                <w:sz w:val="20"/>
                <w14:textFill>
                  <w14:solidFill>
                    <w14:schemeClr w14:val="tx1"/>
                  </w14:solidFill>
                </w14:textFill>
              </w:rPr>
              <w:t>，</w:t>
            </w:r>
            <w:r>
              <w:rPr>
                <w:rFonts w:hint="eastAsia" w:ascii="Times New Roman"/>
                <w:color w:val="000000" w:themeColor="text1"/>
                <w:sz w:val="20"/>
                <w14:textFill>
                  <w14:solidFill>
                    <w14:schemeClr w14:val="tx1"/>
                  </w14:solidFill>
                </w14:textFill>
              </w:rPr>
              <w:t>mm</w:t>
            </w:r>
          </w:p>
        </w:tc>
        <w:tc>
          <w:tcPr>
            <w:tcW w:w="2410" w:type="dxa"/>
            <w:shd w:val="clear" w:color="auto" w:fill="auto"/>
            <w:vAlign w:val="center"/>
          </w:tcPr>
          <w:p w14:paraId="0FDEB1CD">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ascii="Times New Roman"/>
                <w:color w:val="000000" w:themeColor="text1"/>
                <w:sz w:val="20"/>
                <w14:textFill>
                  <w14:solidFill>
                    <w14:schemeClr w14:val="tx1"/>
                  </w14:solidFill>
                </w14:textFill>
              </w:rPr>
              <w:t>≥</w:t>
            </w:r>
            <w:r>
              <w:rPr>
                <w:rFonts w:hint="eastAsia" w:ascii="Times New Roman"/>
                <w:color w:val="000000"/>
                <w:sz w:val="20"/>
              </w:rPr>
              <w:t>6</w:t>
            </w:r>
            <w:r>
              <w:rPr>
                <w:rFonts w:ascii="Times New Roman"/>
                <w:color w:val="000000"/>
                <w:sz w:val="20"/>
              </w:rPr>
              <w:t>5</w:t>
            </w:r>
            <w:r>
              <w:rPr>
                <w:rFonts w:hint="eastAsia" w:ascii="Times New Roman"/>
                <w:color w:val="000000"/>
                <w:sz w:val="20"/>
              </w:rPr>
              <w:t>，</w:t>
            </w:r>
            <w:r>
              <w:rPr>
                <w:rFonts w:ascii="Times New Roman"/>
                <w:color w:val="000000"/>
                <w:sz w:val="20"/>
              </w:rPr>
              <w:t>≤</w:t>
            </w:r>
            <w:r>
              <w:rPr>
                <w:rFonts w:hint="eastAsia" w:ascii="Times New Roman"/>
                <w:color w:val="000000"/>
                <w:sz w:val="20"/>
              </w:rPr>
              <w:t>8</w:t>
            </w:r>
            <w:r>
              <w:rPr>
                <w:rFonts w:ascii="Times New Roman"/>
                <w:color w:val="000000"/>
                <w:sz w:val="20"/>
              </w:rPr>
              <w:t>0</w:t>
            </w:r>
          </w:p>
        </w:tc>
        <w:tc>
          <w:tcPr>
            <w:tcW w:w="2410" w:type="dxa"/>
            <w:shd w:val="clear" w:color="auto" w:fill="auto"/>
            <w:vAlign w:val="center"/>
          </w:tcPr>
          <w:p w14:paraId="4A780C78">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ascii="Times New Roman"/>
                <w:color w:val="000000" w:themeColor="text1"/>
                <w:sz w:val="20"/>
                <w14:textFill>
                  <w14:solidFill>
                    <w14:schemeClr w14:val="tx1"/>
                  </w14:solidFill>
                </w14:textFill>
              </w:rPr>
              <w:t>≥</w:t>
            </w:r>
            <w:r>
              <w:rPr>
                <w:rFonts w:hint="eastAsia" w:ascii="Times New Roman"/>
                <w:color w:val="000000"/>
                <w:sz w:val="20"/>
              </w:rPr>
              <w:t>60，</w:t>
            </w:r>
            <w:r>
              <w:rPr>
                <w:rFonts w:ascii="Times New Roman"/>
                <w:color w:val="000000"/>
                <w:sz w:val="20"/>
              </w:rPr>
              <w:t>≤</w:t>
            </w:r>
            <w:r>
              <w:rPr>
                <w:rFonts w:hint="eastAsia" w:ascii="Times New Roman"/>
                <w:color w:val="000000"/>
                <w:sz w:val="20"/>
              </w:rPr>
              <w:t>8</w:t>
            </w:r>
            <w:r>
              <w:rPr>
                <w:rFonts w:ascii="Times New Roman"/>
                <w:color w:val="000000"/>
                <w:sz w:val="20"/>
              </w:rPr>
              <w:t>0</w:t>
            </w:r>
          </w:p>
        </w:tc>
        <w:tc>
          <w:tcPr>
            <w:tcW w:w="2270" w:type="dxa"/>
            <w:shd w:val="clear" w:color="auto" w:fill="auto"/>
            <w:vAlign w:val="center"/>
          </w:tcPr>
          <w:p w14:paraId="44AC2F24">
            <w:pPr>
              <w:pStyle w:val="233"/>
              <w:ind w:firstLine="0" w:firstLineChars="0"/>
              <w:jc w:val="center"/>
              <w:rPr>
                <w:rFonts w:ascii="Times New Roman" w:hAnsi="Times New Roman" w:eastAsia="宋体" w:cs="Times New Roman"/>
                <w:color w:val="000000" w:themeColor="text1"/>
                <w:sz w:val="20"/>
                <w:lang w:val="en-US" w:eastAsia="zh-CN" w:bidi="ar-SA"/>
                <w14:textFill>
                  <w14:solidFill>
                    <w14:schemeClr w14:val="tx1"/>
                  </w14:solidFill>
                </w14:textFill>
              </w:rPr>
            </w:pPr>
            <w:r>
              <w:rPr>
                <w:rFonts w:ascii="Times New Roman"/>
                <w:color w:val="000000" w:themeColor="text1"/>
                <w:sz w:val="20"/>
                <w14:textFill>
                  <w14:solidFill>
                    <w14:schemeClr w14:val="tx1"/>
                  </w14:solidFill>
                </w14:textFill>
              </w:rPr>
              <w:t>≥</w:t>
            </w:r>
            <w:r>
              <w:rPr>
                <w:rFonts w:hint="eastAsia" w:ascii="Times New Roman"/>
                <w:color w:val="000000"/>
                <w:sz w:val="20"/>
              </w:rPr>
              <w:t>55，</w:t>
            </w:r>
            <w:r>
              <w:rPr>
                <w:rFonts w:ascii="Times New Roman"/>
                <w:color w:val="000000"/>
                <w:sz w:val="20"/>
              </w:rPr>
              <w:t>≤</w:t>
            </w:r>
            <w:r>
              <w:rPr>
                <w:rFonts w:hint="eastAsia" w:ascii="Times New Roman"/>
                <w:color w:val="000000"/>
                <w:sz w:val="20"/>
              </w:rPr>
              <w:t>85</w:t>
            </w:r>
          </w:p>
        </w:tc>
      </w:tr>
    </w:tbl>
    <w:p w14:paraId="045D35DF">
      <w:pPr>
        <w:pStyle w:val="107"/>
        <w:spacing w:before="120" w:after="120"/>
        <w:rPr>
          <w:lang w:bidi="ar"/>
        </w:rPr>
      </w:pPr>
      <w:r>
        <w:rPr>
          <w:lang w:bidi="ar"/>
        </w:rPr>
        <w:t>规格要求</w:t>
      </w:r>
    </w:p>
    <w:p w14:paraId="6D947344">
      <w:pPr>
        <w:pStyle w:val="58"/>
        <w:ind w:firstLine="420"/>
      </w:pPr>
      <w:r>
        <w:t>威海金苹果</w:t>
      </w:r>
      <w:r>
        <w:rPr>
          <w:rFonts w:hint="eastAsia" w:ascii="宋体" w:hAnsi="宋体"/>
          <w:color w:val="000000"/>
        </w:rPr>
        <w:t>按照果实横径分为特大果、大果、中果、小果四种规格，各规格要求</w:t>
      </w:r>
      <w:r>
        <w:rPr>
          <w:rFonts w:ascii="宋体" w:hAnsi="宋体"/>
          <w:color w:val="000000"/>
        </w:rPr>
        <w:t>应符合表</w:t>
      </w:r>
      <w:r>
        <w:rPr>
          <w:rFonts w:hint="eastAsia" w:ascii="宋体" w:hAnsi="宋体"/>
          <w:color w:val="000000"/>
        </w:rPr>
        <w:t>2规定</w:t>
      </w:r>
      <w:r>
        <w:rPr>
          <w:szCs w:val="21"/>
          <w:lang w:bidi="ar"/>
        </w:rPr>
        <w:t>。</w:t>
      </w:r>
    </w:p>
    <w:bookmarkEnd w:id="46"/>
    <w:p w14:paraId="7076F512">
      <w:pPr>
        <w:pStyle w:val="114"/>
        <w:spacing w:before="120" w:after="120"/>
      </w:pPr>
      <w:r>
        <w:rPr>
          <w:rFonts w:hint="eastAsia"/>
        </w:rPr>
        <w:t>规格</w:t>
      </w:r>
      <w:r>
        <w:t>要求</w:t>
      </w:r>
    </w:p>
    <w:tbl>
      <w:tblPr>
        <w:tblStyle w:val="29"/>
        <w:tblW w:w="8695" w:type="dxa"/>
        <w:tblInd w:w="9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603"/>
        <w:gridCol w:w="1900"/>
        <w:gridCol w:w="1917"/>
        <w:gridCol w:w="1591"/>
        <w:gridCol w:w="1684"/>
      </w:tblGrid>
      <w:tr w14:paraId="2D7621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8" w:hRule="atLeast"/>
        </w:trPr>
        <w:tc>
          <w:tcPr>
            <w:tcW w:w="1603" w:type="dxa"/>
            <w:tcBorders>
              <w:top w:val="single" w:color="auto" w:sz="8" w:space="0"/>
              <w:left w:val="single" w:color="auto" w:sz="8" w:space="0"/>
              <w:bottom w:val="single" w:color="auto" w:sz="8" w:space="0"/>
              <w:right w:val="single" w:color="auto" w:sz="4" w:space="0"/>
            </w:tcBorders>
            <w:vAlign w:val="center"/>
          </w:tcPr>
          <w:p w14:paraId="6F312CD8">
            <w:pPr>
              <w:pStyle w:val="180"/>
              <w:widowControl w:val="0"/>
              <w:rPr>
                <w:color w:val="000000"/>
                <w:sz w:val="20"/>
              </w:rPr>
            </w:pPr>
            <w:r>
              <w:rPr>
                <w:color w:val="000000"/>
                <w:sz w:val="20"/>
              </w:rPr>
              <w:t>规格</w:t>
            </w:r>
          </w:p>
        </w:tc>
        <w:tc>
          <w:tcPr>
            <w:tcW w:w="1900" w:type="dxa"/>
            <w:tcBorders>
              <w:top w:val="single" w:color="auto" w:sz="8" w:space="0"/>
              <w:left w:val="single" w:color="auto" w:sz="4" w:space="0"/>
              <w:bottom w:val="single" w:color="auto" w:sz="8" w:space="0"/>
              <w:right w:val="single" w:color="auto" w:sz="4" w:space="0"/>
            </w:tcBorders>
            <w:vAlign w:val="center"/>
          </w:tcPr>
          <w:p w14:paraId="3A29C5B9">
            <w:pPr>
              <w:pStyle w:val="180"/>
              <w:widowControl w:val="0"/>
              <w:rPr>
                <w:color w:val="000000"/>
                <w:sz w:val="20"/>
              </w:rPr>
            </w:pPr>
            <w:r>
              <w:rPr>
                <w:color w:val="000000"/>
                <w:sz w:val="20"/>
              </w:rPr>
              <w:t>小果（S）</w:t>
            </w:r>
          </w:p>
        </w:tc>
        <w:tc>
          <w:tcPr>
            <w:tcW w:w="1917" w:type="dxa"/>
            <w:tcBorders>
              <w:top w:val="single" w:color="auto" w:sz="8" w:space="0"/>
              <w:left w:val="single" w:color="auto" w:sz="4" w:space="0"/>
              <w:bottom w:val="single" w:color="auto" w:sz="8" w:space="0"/>
              <w:right w:val="single" w:color="auto" w:sz="4" w:space="0"/>
            </w:tcBorders>
            <w:vAlign w:val="center"/>
          </w:tcPr>
          <w:p w14:paraId="52EDD8F9">
            <w:pPr>
              <w:pStyle w:val="180"/>
              <w:widowControl w:val="0"/>
              <w:rPr>
                <w:color w:val="000000"/>
                <w:sz w:val="20"/>
              </w:rPr>
            </w:pPr>
            <w:r>
              <w:rPr>
                <w:color w:val="000000"/>
                <w:sz w:val="20"/>
              </w:rPr>
              <w:t>中果（M）</w:t>
            </w:r>
          </w:p>
        </w:tc>
        <w:tc>
          <w:tcPr>
            <w:tcW w:w="1591" w:type="dxa"/>
            <w:tcBorders>
              <w:top w:val="single" w:color="auto" w:sz="8" w:space="0"/>
              <w:left w:val="single" w:color="auto" w:sz="4" w:space="0"/>
              <w:bottom w:val="single" w:color="auto" w:sz="8" w:space="0"/>
              <w:right w:val="single" w:color="auto" w:sz="8" w:space="0"/>
            </w:tcBorders>
            <w:vAlign w:val="center"/>
          </w:tcPr>
          <w:p w14:paraId="4C44124E">
            <w:pPr>
              <w:pStyle w:val="180"/>
              <w:widowControl w:val="0"/>
              <w:rPr>
                <w:color w:val="000000"/>
                <w:sz w:val="20"/>
              </w:rPr>
            </w:pPr>
            <w:r>
              <w:rPr>
                <w:color w:val="000000"/>
                <w:sz w:val="20"/>
              </w:rPr>
              <w:t>大果（L）</w:t>
            </w:r>
          </w:p>
        </w:tc>
        <w:tc>
          <w:tcPr>
            <w:tcW w:w="1684" w:type="dxa"/>
            <w:tcBorders>
              <w:top w:val="single" w:color="auto" w:sz="8" w:space="0"/>
              <w:left w:val="single" w:color="auto" w:sz="4" w:space="0"/>
              <w:bottom w:val="single" w:color="auto" w:sz="8" w:space="0"/>
              <w:right w:val="single" w:color="auto" w:sz="8" w:space="0"/>
            </w:tcBorders>
            <w:vAlign w:val="center"/>
          </w:tcPr>
          <w:p w14:paraId="7AFD787C">
            <w:pPr>
              <w:pStyle w:val="180"/>
              <w:widowControl w:val="0"/>
              <w:rPr>
                <w:color w:val="000000"/>
                <w:sz w:val="20"/>
              </w:rPr>
            </w:pPr>
            <w:r>
              <w:rPr>
                <w:rFonts w:hint="eastAsia"/>
                <w:color w:val="000000"/>
                <w:sz w:val="20"/>
              </w:rPr>
              <w:t>特大果（XL）</w:t>
            </w:r>
          </w:p>
        </w:tc>
      </w:tr>
      <w:tr w14:paraId="5196D6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9" w:hRule="atLeast"/>
        </w:trPr>
        <w:tc>
          <w:tcPr>
            <w:tcW w:w="1603" w:type="dxa"/>
            <w:tcBorders>
              <w:top w:val="single" w:color="auto" w:sz="8" w:space="0"/>
              <w:left w:val="single" w:color="auto" w:sz="8" w:space="0"/>
              <w:bottom w:val="single" w:color="auto" w:sz="8" w:space="0"/>
              <w:right w:val="single" w:color="auto" w:sz="4" w:space="0"/>
            </w:tcBorders>
            <w:vAlign w:val="center"/>
          </w:tcPr>
          <w:p w14:paraId="64DEC563">
            <w:pPr>
              <w:pStyle w:val="180"/>
              <w:widowControl w:val="0"/>
              <w:rPr>
                <w:color w:val="000000"/>
                <w:sz w:val="20"/>
              </w:rPr>
            </w:pPr>
            <w:r>
              <w:rPr>
                <w:color w:val="000000"/>
                <w:sz w:val="20"/>
              </w:rPr>
              <w:t>横径，mm</w:t>
            </w:r>
          </w:p>
        </w:tc>
        <w:tc>
          <w:tcPr>
            <w:tcW w:w="1900" w:type="dxa"/>
            <w:tcBorders>
              <w:top w:val="single" w:color="auto" w:sz="8" w:space="0"/>
              <w:left w:val="single" w:color="auto" w:sz="4" w:space="0"/>
              <w:bottom w:val="single" w:color="auto" w:sz="8" w:space="0"/>
              <w:right w:val="single" w:color="auto" w:sz="4" w:space="0"/>
            </w:tcBorders>
            <w:vAlign w:val="center"/>
          </w:tcPr>
          <w:p w14:paraId="28611F7C">
            <w:pPr>
              <w:pStyle w:val="180"/>
              <w:widowControl w:val="0"/>
              <w:rPr>
                <w:rFonts w:hint="default" w:eastAsia="宋体"/>
                <w:color w:val="000000"/>
                <w:sz w:val="20"/>
                <w:lang w:val="en-US" w:eastAsia="zh-CN"/>
              </w:rPr>
            </w:pPr>
            <w:r>
              <w:rPr>
                <w:color w:val="000000" w:themeColor="text1"/>
                <w:sz w:val="20"/>
                <w14:textFill>
                  <w14:solidFill>
                    <w14:schemeClr w14:val="tx1"/>
                  </w14:solidFill>
                </w14:textFill>
              </w:rPr>
              <w:t>≥</w:t>
            </w:r>
            <w:r>
              <w:rPr>
                <w:rFonts w:hint="eastAsia"/>
                <w:color w:val="000000"/>
                <w:sz w:val="20"/>
                <w:lang w:val="en-US" w:eastAsia="zh-CN"/>
              </w:rPr>
              <w:t>60</w:t>
            </w:r>
            <w:r>
              <w:rPr>
                <w:rFonts w:hint="eastAsia"/>
                <w:color w:val="000000"/>
                <w:sz w:val="20"/>
              </w:rPr>
              <w:t>，＜</w:t>
            </w:r>
            <w:r>
              <w:rPr>
                <w:rFonts w:hint="eastAsia"/>
                <w:color w:val="000000"/>
                <w:sz w:val="20"/>
                <w:lang w:val="en-US" w:eastAsia="zh-CN"/>
              </w:rPr>
              <w:t>70</w:t>
            </w:r>
          </w:p>
        </w:tc>
        <w:tc>
          <w:tcPr>
            <w:tcW w:w="1917" w:type="dxa"/>
            <w:tcBorders>
              <w:top w:val="single" w:color="auto" w:sz="8" w:space="0"/>
              <w:left w:val="single" w:color="auto" w:sz="4" w:space="0"/>
              <w:bottom w:val="single" w:color="auto" w:sz="8" w:space="0"/>
              <w:right w:val="single" w:color="auto" w:sz="4" w:space="0"/>
            </w:tcBorders>
            <w:vAlign w:val="center"/>
          </w:tcPr>
          <w:p w14:paraId="15E22431">
            <w:pPr>
              <w:pStyle w:val="180"/>
              <w:widowControl w:val="0"/>
              <w:rPr>
                <w:rFonts w:hint="default" w:eastAsia="宋体"/>
                <w:color w:val="000000"/>
                <w:sz w:val="20"/>
                <w:lang w:val="en-US" w:eastAsia="zh-CN"/>
              </w:rPr>
            </w:pPr>
            <w:r>
              <w:rPr>
                <w:rFonts w:hint="eastAsia"/>
                <w:color w:val="000000" w:themeColor="text1"/>
                <w:sz w:val="20"/>
                <w14:textFill>
                  <w14:solidFill>
                    <w14:schemeClr w14:val="tx1"/>
                  </w14:solidFill>
                </w14:textFill>
              </w:rPr>
              <w:t>≥</w:t>
            </w:r>
            <w:r>
              <w:rPr>
                <w:rFonts w:hint="eastAsia"/>
                <w:color w:val="000000" w:themeColor="text1"/>
                <w:sz w:val="20"/>
                <w:lang w:val="en-US" w:eastAsia="zh-CN"/>
                <w14:textFill>
                  <w14:solidFill>
                    <w14:schemeClr w14:val="tx1"/>
                  </w14:solidFill>
                </w14:textFill>
              </w:rPr>
              <w:t>70</w:t>
            </w:r>
            <w:r>
              <w:rPr>
                <w:rFonts w:hint="eastAsia"/>
                <w:color w:val="000000" w:themeColor="text1"/>
                <w:sz w:val="20"/>
                <w14:textFill>
                  <w14:solidFill>
                    <w14:schemeClr w14:val="tx1"/>
                  </w14:solidFill>
                </w14:textFill>
              </w:rPr>
              <w:t>，＜</w:t>
            </w:r>
            <w:r>
              <w:rPr>
                <w:rFonts w:hint="eastAsia"/>
                <w:color w:val="000000"/>
                <w:sz w:val="20"/>
                <w:lang w:val="en-US" w:eastAsia="zh-CN"/>
              </w:rPr>
              <w:t>75</w:t>
            </w:r>
          </w:p>
        </w:tc>
        <w:tc>
          <w:tcPr>
            <w:tcW w:w="1591" w:type="dxa"/>
            <w:tcBorders>
              <w:top w:val="single" w:color="auto" w:sz="8" w:space="0"/>
              <w:left w:val="single" w:color="auto" w:sz="4" w:space="0"/>
              <w:bottom w:val="single" w:color="auto" w:sz="8" w:space="0"/>
              <w:right w:val="single" w:color="auto" w:sz="8" w:space="0"/>
            </w:tcBorders>
            <w:vAlign w:val="center"/>
          </w:tcPr>
          <w:p w14:paraId="6CF72A0D">
            <w:pPr>
              <w:pStyle w:val="180"/>
              <w:widowControl w:val="0"/>
              <w:rPr>
                <w:color w:val="000000"/>
                <w:sz w:val="20"/>
              </w:rPr>
            </w:pPr>
            <w:r>
              <w:rPr>
                <w:rFonts w:hint="eastAsia"/>
                <w:color w:val="000000" w:themeColor="text1"/>
                <w:sz w:val="20"/>
                <w14:textFill>
                  <w14:solidFill>
                    <w14:schemeClr w14:val="tx1"/>
                  </w14:solidFill>
                </w14:textFill>
              </w:rPr>
              <w:t>≥7</w:t>
            </w:r>
            <w:r>
              <w:rPr>
                <w:rFonts w:hint="eastAsia"/>
                <w:color w:val="000000" w:themeColor="text1"/>
                <w:sz w:val="20"/>
                <w:lang w:val="en-US" w:eastAsia="zh-CN"/>
                <w14:textFill>
                  <w14:solidFill>
                    <w14:schemeClr w14:val="tx1"/>
                  </w14:solidFill>
                </w14:textFill>
              </w:rPr>
              <w:t>5</w:t>
            </w:r>
            <w:r>
              <w:rPr>
                <w:rFonts w:hint="eastAsia"/>
                <w:color w:val="000000" w:themeColor="text1"/>
                <w:sz w:val="20"/>
                <w14:textFill>
                  <w14:solidFill>
                    <w14:schemeClr w14:val="tx1"/>
                  </w14:solidFill>
                </w14:textFill>
              </w:rPr>
              <w:t>，＜</w:t>
            </w:r>
            <w:r>
              <w:rPr>
                <w:rFonts w:hint="eastAsia"/>
                <w:color w:val="000000"/>
                <w:sz w:val="20"/>
              </w:rPr>
              <w:t>8</w:t>
            </w:r>
            <w:r>
              <w:rPr>
                <w:rFonts w:hint="eastAsia"/>
                <w:color w:val="000000"/>
                <w:sz w:val="20"/>
                <w:lang w:val="en-US" w:eastAsia="zh-CN"/>
              </w:rPr>
              <w:t>5</w:t>
            </w:r>
          </w:p>
        </w:tc>
        <w:tc>
          <w:tcPr>
            <w:tcW w:w="1684" w:type="dxa"/>
            <w:tcBorders>
              <w:top w:val="single" w:color="auto" w:sz="8" w:space="0"/>
              <w:left w:val="single" w:color="auto" w:sz="4" w:space="0"/>
              <w:bottom w:val="single" w:color="auto" w:sz="8" w:space="0"/>
              <w:right w:val="single" w:color="auto" w:sz="8" w:space="0"/>
            </w:tcBorders>
            <w:vAlign w:val="center"/>
          </w:tcPr>
          <w:p w14:paraId="50A4568F">
            <w:pPr>
              <w:pStyle w:val="180"/>
              <w:widowControl w:val="0"/>
              <w:rPr>
                <w:rFonts w:hint="eastAsia" w:eastAsia="宋体"/>
                <w:color w:val="000000"/>
                <w:sz w:val="20"/>
                <w:lang w:eastAsia="zh-CN"/>
              </w:rPr>
            </w:pPr>
            <w:r>
              <w:rPr>
                <w:rFonts w:hint="eastAsia"/>
                <w:color w:val="000000"/>
                <w:sz w:val="20"/>
              </w:rPr>
              <w:t>≥8</w:t>
            </w:r>
            <w:r>
              <w:rPr>
                <w:rFonts w:hint="eastAsia"/>
                <w:color w:val="000000"/>
                <w:sz w:val="20"/>
                <w:lang w:val="en-US" w:eastAsia="zh-CN"/>
              </w:rPr>
              <w:t>5</w:t>
            </w:r>
          </w:p>
        </w:tc>
      </w:tr>
    </w:tbl>
    <w:p w14:paraId="0BCC5135">
      <w:pPr>
        <w:pStyle w:val="106"/>
        <w:spacing w:before="240" w:after="240" w:line="278" w:lineRule="auto"/>
        <w:rPr>
          <w:highlight w:val="none"/>
        </w:rPr>
      </w:pPr>
      <w:r>
        <w:rPr>
          <w:rFonts w:hint="eastAsia"/>
          <w:highlight w:val="none"/>
        </w:rPr>
        <w:t>检验方法</w:t>
      </w:r>
    </w:p>
    <w:p w14:paraId="339A5ECB">
      <w:pPr>
        <w:pStyle w:val="107"/>
        <w:spacing w:before="120" w:after="120"/>
      </w:pPr>
      <w:r>
        <w:rPr>
          <w:rFonts w:hint="eastAsia"/>
        </w:rPr>
        <w:t>指标按照GB/T 10651规定执行。</w:t>
      </w:r>
    </w:p>
    <w:p w14:paraId="612E1B27">
      <w:pPr>
        <w:pStyle w:val="107"/>
        <w:spacing w:before="120" w:after="120"/>
      </w:pPr>
      <w:r>
        <w:rPr>
          <w:rFonts w:hint="eastAsia"/>
        </w:rPr>
        <w:t>感官评分</w:t>
      </w:r>
      <w:r>
        <w:rPr>
          <w:rFonts w:hint="eastAsia"/>
          <w:lang w:val="en-US" w:eastAsia="zh-CN"/>
        </w:rPr>
        <w:t>按照GH/T 1471-2024和</w:t>
      </w:r>
      <w:r>
        <w:rPr>
          <w:rFonts w:hint="eastAsia"/>
        </w:rPr>
        <w:t>GH/T 1408-2022规定执行。</w:t>
      </w:r>
    </w:p>
    <w:p w14:paraId="18164513">
      <w:pPr>
        <w:pStyle w:val="106"/>
        <w:spacing w:before="240" w:after="240" w:line="278" w:lineRule="auto"/>
        <w:rPr>
          <w:highlight w:val="none"/>
        </w:rPr>
      </w:pPr>
      <w:r>
        <w:rPr>
          <w:rFonts w:hint="eastAsia"/>
          <w:highlight w:val="none"/>
        </w:rPr>
        <w:t>判定规则</w:t>
      </w:r>
    </w:p>
    <w:p w14:paraId="06F90DC0">
      <w:pPr>
        <w:pStyle w:val="107"/>
        <w:spacing w:before="120" w:after="120"/>
      </w:pPr>
      <w:r>
        <w:rPr>
          <w:rFonts w:hint="eastAsia"/>
        </w:rPr>
        <w:t>等级</w:t>
      </w:r>
      <w:r>
        <w:t>容许度</w:t>
      </w:r>
    </w:p>
    <w:p w14:paraId="2B0E4EC9">
      <w:pPr>
        <w:pStyle w:val="67"/>
        <w:numPr>
          <w:ilvl w:val="0"/>
          <w:numId w:val="0"/>
        </w:numPr>
        <w:spacing w:before="120" w:after="120" w:line="360" w:lineRule="auto"/>
        <w:ind w:firstLine="400" w:firstLineChars="200"/>
        <w:rPr>
          <w:rFonts w:ascii="Times New Roman" w:eastAsia="宋体"/>
          <w:sz w:val="20"/>
        </w:rPr>
      </w:pPr>
      <w:r>
        <w:rPr>
          <w:rFonts w:hint="eastAsia" w:ascii="Times New Roman" w:eastAsia="宋体"/>
          <w:sz w:val="20"/>
        </w:rPr>
        <w:t>6</w:t>
      </w:r>
      <w:r>
        <w:rPr>
          <w:rFonts w:ascii="Times New Roman" w:eastAsia="宋体"/>
          <w:sz w:val="20"/>
        </w:rPr>
        <w:t>.1.1 特级果不允许有刺伤、碰压伤、虫伤和病斑等不符合本等级规定的要求。</w:t>
      </w:r>
    </w:p>
    <w:p w14:paraId="67AB3070">
      <w:pPr>
        <w:pStyle w:val="67"/>
        <w:numPr>
          <w:ilvl w:val="0"/>
          <w:numId w:val="0"/>
        </w:numPr>
        <w:spacing w:before="120" w:after="120" w:line="360" w:lineRule="auto"/>
        <w:ind w:firstLine="400" w:firstLineChars="200"/>
        <w:rPr>
          <w:rFonts w:ascii="Times New Roman" w:eastAsia="宋体"/>
          <w:sz w:val="20"/>
        </w:rPr>
      </w:pPr>
      <w:r>
        <w:rPr>
          <w:rFonts w:hint="eastAsia" w:ascii="Times New Roman" w:eastAsia="宋体"/>
          <w:sz w:val="20"/>
        </w:rPr>
        <w:t>6</w:t>
      </w:r>
      <w:r>
        <w:rPr>
          <w:rFonts w:ascii="Times New Roman" w:eastAsia="宋体"/>
          <w:sz w:val="20"/>
        </w:rPr>
        <w:t>.1.2 一级果不允许有刺伤、碰压伤、虫伤和病斑等缺陷，果实等级不合格率应不超过3%。</w:t>
      </w:r>
    </w:p>
    <w:p w14:paraId="5CB25930">
      <w:pPr>
        <w:pStyle w:val="67"/>
        <w:numPr>
          <w:ilvl w:val="0"/>
          <w:numId w:val="0"/>
        </w:numPr>
        <w:spacing w:before="120" w:after="120" w:line="360" w:lineRule="auto"/>
        <w:ind w:firstLine="400" w:firstLineChars="200"/>
        <w:rPr>
          <w:rFonts w:ascii="Times New Roman" w:eastAsia="宋体"/>
          <w:sz w:val="20"/>
        </w:rPr>
      </w:pPr>
      <w:r>
        <w:rPr>
          <w:rFonts w:hint="eastAsia" w:ascii="Times New Roman" w:eastAsia="宋体"/>
          <w:sz w:val="20"/>
        </w:rPr>
        <w:t>6</w:t>
      </w:r>
      <w:r>
        <w:rPr>
          <w:rFonts w:ascii="Times New Roman" w:eastAsia="宋体"/>
          <w:sz w:val="20"/>
        </w:rPr>
        <w:t>.1.3 二级果不允许有刺伤、碰压伤、虫伤和病斑等缺陷，果实等级不合格率应不超过5%。</w:t>
      </w:r>
    </w:p>
    <w:p w14:paraId="5EC3813C">
      <w:pPr>
        <w:pStyle w:val="107"/>
        <w:spacing w:before="120" w:after="120"/>
      </w:pPr>
      <w:r>
        <w:rPr>
          <w:rFonts w:hint="eastAsia"/>
        </w:rPr>
        <w:t>规格</w:t>
      </w:r>
      <w:r>
        <w:t>的容许度</w:t>
      </w:r>
    </w:p>
    <w:p w14:paraId="74712DCD">
      <w:pPr>
        <w:pStyle w:val="58"/>
        <w:spacing w:after="160" w:line="278" w:lineRule="auto"/>
        <w:ind w:firstLine="420"/>
        <w:rPr>
          <w:rFonts w:ascii="宋体" w:hAnsi="宋体"/>
        </w:rPr>
      </w:pPr>
      <w:r>
        <w:rPr>
          <w:rFonts w:ascii="宋体" w:hAnsi="宋体"/>
        </w:rPr>
        <w:t>各等级对果径有规定的苹果，允许有</w:t>
      </w:r>
      <w:r>
        <w:t>5%</w:t>
      </w:r>
      <w:r>
        <w:rPr>
          <w:rFonts w:ascii="宋体" w:hAnsi="宋体"/>
        </w:rPr>
        <w:t>高于或低于规定果径差别的范围，但在全批货物中果实大小差异不宜过于显著。</w:t>
      </w:r>
    </w:p>
    <w:p w14:paraId="568F5A0C">
      <w:pPr>
        <w:pStyle w:val="164"/>
        <w:rPr>
          <w:rFonts w:ascii="黑体" w:hAnsi="黑体" w:eastAsia="黑体"/>
        </w:rPr>
      </w:pPr>
      <w:r>
        <w:rPr>
          <w:rFonts w:hint="eastAsia" w:ascii="黑体" w:hAnsi="黑体" w:eastAsia="黑体"/>
        </w:rPr>
        <w:t>判定</w:t>
      </w:r>
    </w:p>
    <w:p w14:paraId="2DD020F1">
      <w:pPr>
        <w:pStyle w:val="58"/>
        <w:spacing w:line="360" w:lineRule="auto"/>
        <w:ind w:firstLine="420"/>
      </w:pPr>
      <w:bookmarkStart w:id="47" w:name="OLE_LINK15"/>
      <w:bookmarkStart w:id="48" w:name="OLE_LINK14"/>
      <w:r>
        <w:rPr>
          <w:rFonts w:hint="eastAsia"/>
        </w:rPr>
        <w:t>6.3.1 苹果等级按照</w:t>
      </w:r>
      <w:r>
        <w:rPr>
          <w:rFonts w:hint="eastAsia"/>
          <w:highlight w:val="none"/>
        </w:rPr>
        <w:t>第5章检验结果</w:t>
      </w:r>
      <w:r>
        <w:rPr>
          <w:rFonts w:hint="eastAsia"/>
        </w:rPr>
        <w:t>和6.1进行判定</w:t>
      </w:r>
      <w:r>
        <w:rPr>
          <w:sz w:val="20"/>
        </w:rPr>
        <w:t>，</w:t>
      </w:r>
      <w:r>
        <w:rPr>
          <w:rFonts w:hint="eastAsia"/>
        </w:rPr>
        <w:t>符合相应等级要求和容许度要求</w:t>
      </w:r>
      <w:r>
        <w:rPr>
          <w:sz w:val="20"/>
        </w:rPr>
        <w:t>，</w:t>
      </w:r>
      <w:r>
        <w:rPr>
          <w:rFonts w:hint="eastAsia"/>
        </w:rPr>
        <w:t>判定为符合本文件的相应等级；未达到相应级别对应的全部指标要求时</w:t>
      </w:r>
      <w:r>
        <w:rPr>
          <w:sz w:val="20"/>
        </w:rPr>
        <w:t>，</w:t>
      </w:r>
      <w:r>
        <w:rPr>
          <w:rFonts w:hint="eastAsia"/>
        </w:rPr>
        <w:t>则以最低级别指标判定为符合本文件规定的相应等级。</w:t>
      </w:r>
    </w:p>
    <w:p w14:paraId="335A488C">
      <w:pPr>
        <w:pStyle w:val="58"/>
        <w:spacing w:line="360" w:lineRule="auto"/>
        <w:ind w:firstLine="420"/>
      </w:pPr>
      <w:r>
        <w:rPr>
          <w:rFonts w:hint="eastAsia"/>
        </w:rPr>
        <w:t>6.3.2 苹果规格按照</w:t>
      </w:r>
      <w:r>
        <w:rPr>
          <w:rFonts w:hint="eastAsia"/>
          <w:highlight w:val="none"/>
        </w:rPr>
        <w:t>第5章检验结果</w:t>
      </w:r>
      <w:r>
        <w:rPr>
          <w:rFonts w:hint="eastAsia"/>
        </w:rPr>
        <w:t>和6.2进行判定，符合相应规格要求和容许度要求</w:t>
      </w:r>
      <w:r>
        <w:rPr>
          <w:sz w:val="20"/>
        </w:rPr>
        <w:t>，</w:t>
      </w:r>
      <w:r>
        <w:rPr>
          <w:rFonts w:hint="eastAsia"/>
        </w:rPr>
        <w:t>判定为符合本文件的相应规格。</w:t>
      </w:r>
    </w:p>
    <w:p w14:paraId="43B0DD13">
      <w:pPr>
        <w:pStyle w:val="58"/>
        <w:spacing w:line="360" w:lineRule="auto"/>
        <w:ind w:firstLine="420"/>
      </w:pPr>
      <w:r>
        <w:rPr>
          <w:rFonts w:hint="eastAsia"/>
        </w:rPr>
        <w:t>6.3.3 对检测结果产生异议时</w:t>
      </w:r>
      <w:r>
        <w:rPr>
          <w:sz w:val="20"/>
        </w:rPr>
        <w:t>，</w:t>
      </w:r>
      <w:r>
        <w:rPr>
          <w:rFonts w:hint="eastAsia"/>
        </w:rPr>
        <w:t>允许用备用样复检一次；条件允许可再次抽样</w:t>
      </w:r>
      <w:r>
        <w:rPr>
          <w:sz w:val="20"/>
        </w:rPr>
        <w:t>，</w:t>
      </w:r>
      <w:r>
        <w:rPr>
          <w:rFonts w:hint="eastAsia"/>
        </w:rPr>
        <w:t>复检结果为判定结果。</w:t>
      </w:r>
    </w:p>
    <w:bookmarkEnd w:id="22"/>
    <w:bookmarkEnd w:id="47"/>
    <w:bookmarkEnd w:id="48"/>
    <w:p w14:paraId="5DC54C5D">
      <w:pPr>
        <w:pStyle w:val="58"/>
        <w:ind w:firstLine="0" w:firstLineChars="0"/>
        <w:jc w:val="center"/>
      </w:pPr>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EBCC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7527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83A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FCB6C">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1006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DB2A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1D9B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B7296">
    <w:pPr>
      <w:pStyle w:val="63"/>
    </w:pPr>
    <w:r>
      <w:fldChar w:fldCharType="begin"/>
    </w:r>
    <w:r>
      <w:instrText xml:space="preserve"> STYLEREF  标准文件_文件编号  \* MERGEFORMAT </w:instrText>
    </w:r>
    <w:r>
      <w:fldChar w:fldCharType="separate"/>
    </w:r>
    <w:r>
      <w:t>T/CNCAIA 0011—2026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1CCF5">
    <w:pPr>
      <w:pStyle w:val="18"/>
      <w:jc w:val="right"/>
    </w:pPr>
    <w:r>
      <w:fldChar w:fldCharType="begin"/>
    </w:r>
    <w:r>
      <w:instrText xml:space="preserve"> STYLEREF  标准文件_文件编号  \* MERGEFORMAT </w:instrText>
    </w:r>
    <w:r>
      <w:fldChar w:fldCharType="separate"/>
    </w:r>
    <w:r>
      <w:t>T/CNCAIA 0011—2026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lsF8+Dx/nzMT+oZd49ucRqU5FgF2LG3AWe9zueiTDTUQiCsbcU9UB2ZPBmA1SZk/schXloPEl6CHeRi1TVqcwg==" w:salt="ZBDm86OmOEHLP0F5Xj1ih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C9A"/>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EF9"/>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B65"/>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09E"/>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19EF"/>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5C9A"/>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28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504"/>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2C4"/>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CAA"/>
    <w:rsid w:val="00746800"/>
    <w:rsid w:val="007501A8"/>
    <w:rsid w:val="00750D61"/>
    <w:rsid w:val="00750EE1"/>
    <w:rsid w:val="00752B4D"/>
    <w:rsid w:val="00755402"/>
    <w:rsid w:val="00756B26"/>
    <w:rsid w:val="00756EDF"/>
    <w:rsid w:val="007600E3"/>
    <w:rsid w:val="0076454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556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106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63DE"/>
    <w:rsid w:val="009273B3"/>
    <w:rsid w:val="0093035D"/>
    <w:rsid w:val="009305B5"/>
    <w:rsid w:val="009378DD"/>
    <w:rsid w:val="009429D5"/>
    <w:rsid w:val="00942BF1"/>
    <w:rsid w:val="00945180"/>
    <w:rsid w:val="00945428"/>
    <w:rsid w:val="0094607B"/>
    <w:rsid w:val="00953604"/>
    <w:rsid w:val="0095496B"/>
    <w:rsid w:val="009551EB"/>
    <w:rsid w:val="00955BEE"/>
    <w:rsid w:val="0095609D"/>
    <w:rsid w:val="00960F1E"/>
    <w:rsid w:val="009610DC"/>
    <w:rsid w:val="00961490"/>
    <w:rsid w:val="0096381A"/>
    <w:rsid w:val="00965E04"/>
    <w:rsid w:val="009674AD"/>
    <w:rsid w:val="00970CDC"/>
    <w:rsid w:val="00975727"/>
    <w:rsid w:val="00977010"/>
    <w:rsid w:val="00977D02"/>
    <w:rsid w:val="00977FF9"/>
    <w:rsid w:val="009809BB"/>
    <w:rsid w:val="00981B2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4F1C"/>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009"/>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14A8"/>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608B"/>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03AE"/>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5EE3"/>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36172B"/>
    <w:rsid w:val="053E0B8B"/>
    <w:rsid w:val="0C5049B9"/>
    <w:rsid w:val="136F4E34"/>
    <w:rsid w:val="13F13611"/>
    <w:rsid w:val="17AA0BE6"/>
    <w:rsid w:val="1D9E680C"/>
    <w:rsid w:val="20A26336"/>
    <w:rsid w:val="22BE4931"/>
    <w:rsid w:val="27DA63B5"/>
    <w:rsid w:val="32717C15"/>
    <w:rsid w:val="329C2DB1"/>
    <w:rsid w:val="3872457D"/>
    <w:rsid w:val="3A08033F"/>
    <w:rsid w:val="3C95260C"/>
    <w:rsid w:val="3D5509D8"/>
    <w:rsid w:val="40387A9F"/>
    <w:rsid w:val="40A2786E"/>
    <w:rsid w:val="4662784A"/>
    <w:rsid w:val="46687557"/>
    <w:rsid w:val="483E60F2"/>
    <w:rsid w:val="4C26756B"/>
    <w:rsid w:val="535979F1"/>
    <w:rsid w:val="536D01B6"/>
    <w:rsid w:val="544467E1"/>
    <w:rsid w:val="599B1915"/>
    <w:rsid w:val="5A464D57"/>
    <w:rsid w:val="60152C17"/>
    <w:rsid w:val="605F7E99"/>
    <w:rsid w:val="60F3072F"/>
    <w:rsid w:val="65F546D2"/>
    <w:rsid w:val="68050F4D"/>
    <w:rsid w:val="6F6C5228"/>
    <w:rsid w:val="70747499"/>
    <w:rsid w:val="75653F94"/>
    <w:rsid w:val="76374BB8"/>
    <w:rsid w:val="7B3534ED"/>
    <w:rsid w:val="7B7502D0"/>
    <w:rsid w:val="7E081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7"/>
    <w:semiHidden/>
    <w:unhideWhenUsed/>
    <w:qFormat/>
    <w:uiPriority w:val="99"/>
    <w:rPr>
      <w:sz w:val="18"/>
      <w:szCs w:val="18"/>
    </w:rPr>
  </w:style>
  <w:style w:type="paragraph" w:styleId="17">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5"/>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HTML Preformatted"/>
    <w:basedOn w:val="1"/>
    <w:link w:val="23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宋体" w:hAnsi="宋体" w:cs="宋体"/>
      <w:kern w:val="0"/>
      <w:sz w:val="24"/>
      <w:szCs w:val="24"/>
    </w:rPr>
  </w:style>
  <w:style w:type="paragraph" w:styleId="26">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8"/>
    <w:qFormat/>
    <w:uiPriority w:val="99"/>
    <w:rPr>
      <w:kern w:val="2"/>
      <w:sz w:val="18"/>
      <w:szCs w:val="18"/>
    </w:rPr>
  </w:style>
  <w:style w:type="character" w:customStyle="1" w:styleId="46">
    <w:name w:val="页脚 字符"/>
    <w:link w:val="17"/>
    <w:qFormat/>
    <w:uiPriority w:val="99"/>
    <w:rPr>
      <w:rFonts w:ascii="宋体"/>
      <w:kern w:val="2"/>
      <w:sz w:val="18"/>
      <w:szCs w:val="18"/>
    </w:rPr>
  </w:style>
  <w:style w:type="character" w:customStyle="1" w:styleId="47">
    <w:name w:val="批注框文本 字符"/>
    <w:link w:val="16"/>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1"/>
    <w:semiHidden/>
    <w:qFormat/>
    <w:uiPriority w:val="0"/>
    <w:rPr>
      <w:rFonts w:ascii="宋体"/>
      <w:kern w:val="2"/>
      <w:sz w:val="18"/>
      <w:szCs w:val="18"/>
    </w:rPr>
  </w:style>
  <w:style w:type="paragraph" w:customStyle="1" w:styleId="10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Times New Roman"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style>
  <w:style w:type="paragraph" w:customStyle="1" w:styleId="191">
    <w:name w:val="标准文件_一级项2"/>
    <w:basedOn w:val="58"/>
    <w:qFormat/>
    <w:uiPriority w:val="0"/>
    <w:pPr>
      <w:numPr>
        <w:ilvl w:val="0"/>
        <w:numId w:val="31"/>
      </w:numPr>
      <w:spacing w:line="300" w:lineRule="exact"/>
      <w:ind w:firstLineChars="0"/>
    </w:p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HTML 预设格式 字符"/>
    <w:basedOn w:val="30"/>
    <w:link w:val="25"/>
    <w:qFormat/>
    <w:uiPriority w:val="99"/>
    <w:rPr>
      <w:rFonts w:ascii="宋体" w:hAnsi="宋体" w:cs="宋体"/>
      <w:sz w:val="24"/>
      <w:szCs w:val="24"/>
    </w:rPr>
  </w:style>
  <w:style w:type="paragraph" w:customStyle="1" w:styleId="2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4">
    <w:name w:val="Revision"/>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03ED3F382A246A194765B635882F08A"/>
        <w:style w:val=""/>
        <w:category>
          <w:name w:val="常规"/>
          <w:gallery w:val="placeholder"/>
        </w:category>
        <w:types>
          <w:type w:val="bbPlcHdr"/>
        </w:types>
        <w:behaviors>
          <w:behavior w:val="content"/>
        </w:behaviors>
        <w:description w:val=""/>
        <w:guid w:val="{6115C942-BDA0-49E9-AEF7-A9BB1AF26AF4}"/>
      </w:docPartPr>
      <w:docPartBody>
        <w:p w14:paraId="4A5D9BBC">
          <w:pPr>
            <w:pStyle w:val="5"/>
          </w:pPr>
          <w:r>
            <w:rPr>
              <w:rStyle w:val="4"/>
              <w:rFonts w:hint="eastAsia"/>
            </w:rPr>
            <w:t>单击或点击此处输入文字。</w:t>
          </w:r>
        </w:p>
      </w:docPartBody>
    </w:docPart>
    <w:docPart>
      <w:docPartPr>
        <w:name w:val="951E30D6A78646DA9217F2BAFCB4C697"/>
        <w:style w:val=""/>
        <w:category>
          <w:name w:val="常规"/>
          <w:gallery w:val="placeholder"/>
        </w:category>
        <w:types>
          <w:type w:val="bbPlcHdr"/>
        </w:types>
        <w:behaviors>
          <w:behavior w:val="content"/>
        </w:behaviors>
        <w:description w:val=""/>
        <w:guid w:val="{03B56AE7-594E-4EA3-82E1-06C4FF8BEBB0}"/>
      </w:docPartPr>
      <w:docPartBody>
        <w:p w14:paraId="7808A254">
          <w:pPr>
            <w:pStyle w:val="6"/>
          </w:pPr>
          <w:r>
            <w:rPr>
              <w:rStyle w:val="4"/>
              <w:rFonts w:hint="eastAsia"/>
            </w:rPr>
            <w:t>选择一项。</w:t>
          </w:r>
        </w:p>
      </w:docPartBody>
    </w:docPart>
    <w:docPart>
      <w:docPartPr>
        <w:name w:val="FA409BC25BE9421BB6FF609425ED607E"/>
        <w:style w:val=""/>
        <w:category>
          <w:name w:val="常规"/>
          <w:gallery w:val="placeholder"/>
        </w:category>
        <w:types>
          <w:type w:val="bbPlcHdr"/>
        </w:types>
        <w:behaviors>
          <w:behavior w:val="content"/>
        </w:behaviors>
        <w:description w:val=""/>
        <w:guid w:val="{A036F74C-8411-48C9-A2D3-C294DDDFEF4E}"/>
      </w:docPartPr>
      <w:docPartBody>
        <w:p w14:paraId="66E310ED">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018"/>
    <w:rsid w:val="00301A35"/>
    <w:rsid w:val="004E4DA7"/>
    <w:rsid w:val="008A44D4"/>
    <w:rsid w:val="009263DE"/>
    <w:rsid w:val="00A55018"/>
    <w:rsid w:val="00AF4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03ED3F382A246A194765B635882F08A"/>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951E30D6A78646DA9217F2BAFCB4C69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A409BC25BE9421BB6FF609425ED607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(x86)\StandardEditor\template\团体标准.dotx</Template>
  <Pages>5</Pages>
  <Words>1580</Words>
  <Characters>1900</Characters>
  <Lines>15</Lines>
  <Paragraphs>4</Paragraphs>
  <TotalTime>0</TotalTime>
  <ScaleCrop>false</ScaleCrop>
  <LinksUpToDate>false</LinksUpToDate>
  <CharactersWithSpaces>1956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2026-07-29T00:43:00Z</dcterms:created>
  <dc:creator>马晓燕</dc:creator>
  <cp:lastModifiedBy>caia</cp:lastModifiedBy>
  <cp:lastPrinted>2021-02-02T08:22:00Z</cp:lastPrinted>
  <dcterms:modified xsi:type="dcterms:W3CDTF">2026-08-17T02:46:32Z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eyJoZGlkIjoiN2IxZjI5ZDdhYzUzNTY1MzE5MGRjY2M0NDQ3OTk0MjgiLCJ1c2VySWQiOiI0NjIxOTUwMjYifQ==</vt:lpwstr>
  </property>
  <property fmtid="{D5CDD505-2E9C-101B-9397-08002B2CF9AE}" pid="15" name="KSOProductBuildVer">
    <vt:lpwstr>2052-12.1.0.28043</vt:lpwstr>
  </property>
  <property fmtid="{D5CDD505-2E9C-101B-9397-08002B2CF9AE}" pid="16" name="ICV">
    <vt:lpwstr>AA242480FD7843FA8EA3132AEA8566D9_13</vt:lpwstr>
  </property>
</Properties>
</file>